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cs="Arial"/>
          <w:b/>
        </w:rPr>
      </w:pPr>
      <w:r>
        <w:rPr>
          <w:rFonts w:ascii="Arial" w:hAnsi="Arial" w:cs="Arial"/>
          <w:b/>
        </w:rPr>
        <w:t>3GPP TSG-SA WG6 Meeting #62</w:t>
      </w:r>
      <w:r>
        <w:rPr>
          <w:rFonts w:ascii="Arial" w:hAnsi="Arial" w:cs="Arial"/>
          <w:b/>
        </w:rPr>
        <w:tab/>
      </w:r>
      <w:r>
        <w:rPr>
          <w:rFonts w:ascii="Arial" w:hAnsi="Arial" w:cs="Arial"/>
          <w:b/>
        </w:rPr>
        <w:t>S6-243</w:t>
      </w:r>
      <w:r>
        <w:rPr>
          <w:rFonts w:hint="eastAsia" w:ascii="Arial" w:hAnsi="Arial" w:cs="Arial"/>
          <w:b/>
        </w:rPr>
        <w:t>159</w:t>
      </w:r>
    </w:p>
    <w:p>
      <w:pPr>
        <w:pBdr>
          <w:bottom w:val="single" w:color="auto" w:sz="4" w:space="1"/>
        </w:pBdr>
        <w:tabs>
          <w:tab w:val="right" w:pos="9214"/>
        </w:tabs>
        <w:spacing w:after="0"/>
        <w:rPr>
          <w:rFonts w:ascii="Arial" w:hAnsi="Arial" w:cs="Arial"/>
          <w:b/>
        </w:rPr>
      </w:pPr>
      <w:r>
        <w:rPr>
          <w:rFonts w:ascii="Arial" w:hAnsi="Arial" w:cs="Arial"/>
          <w:b/>
        </w:rPr>
        <w:t>Maastricht, Netherlands, 19</w:t>
      </w:r>
      <w:r>
        <w:rPr>
          <w:rFonts w:ascii="Arial" w:hAnsi="Arial" w:cs="Arial"/>
          <w:b/>
          <w:vertAlign w:val="superscript"/>
        </w:rPr>
        <w:t>th</w:t>
      </w:r>
      <w:r>
        <w:rPr>
          <w:rFonts w:ascii="Arial" w:hAnsi="Arial" w:cs="Arial"/>
          <w:b/>
        </w:rPr>
        <w:t xml:space="preserve"> – 23</w:t>
      </w:r>
      <w:r>
        <w:rPr>
          <w:rFonts w:ascii="Arial" w:hAnsi="Arial" w:cs="Arial"/>
          <w:b/>
          <w:vertAlign w:val="superscript"/>
        </w:rPr>
        <w:t>rd</w:t>
      </w:r>
      <w:r>
        <w:rPr>
          <w:rFonts w:ascii="Arial" w:hAnsi="Arial" w:cs="Arial"/>
          <w:b/>
        </w:rPr>
        <w:t xml:space="preserve"> August 2024</w:t>
      </w:r>
      <w:r>
        <w:rPr>
          <w:rFonts w:ascii="Arial" w:hAnsi="Arial" w:cs="Arial"/>
          <w:b/>
        </w:rPr>
        <w:tab/>
      </w:r>
      <w:r>
        <w:rPr>
          <w:rFonts w:ascii="Arial" w:hAnsi="Arial" w:cs="Arial"/>
          <w:b/>
        </w:rPr>
        <w:t>(revision of S6-243xxx)</w:t>
      </w:r>
    </w:p>
    <w:p>
      <w:pPr>
        <w:rPr>
          <w:rFonts w:ascii="Arial" w:hAnsi="Arial"/>
        </w:rPr>
      </w:pPr>
    </w:p>
    <w:p>
      <w:pPr>
        <w:tabs>
          <w:tab w:val="left" w:pos="1701"/>
        </w:tabs>
        <w:rPr>
          <w:rFonts w:ascii="Arial" w:hAnsi="Arial" w:eastAsia="宋体"/>
        </w:rPr>
      </w:pPr>
      <w:r>
        <w:rPr>
          <w:rFonts w:ascii="Arial" w:hAnsi="Arial" w:eastAsia="宋体"/>
        </w:rPr>
        <w:t>Source:</w:t>
      </w:r>
      <w:r>
        <w:rPr>
          <w:rFonts w:ascii="Arial" w:hAnsi="Arial" w:eastAsia="宋体"/>
        </w:rPr>
        <w:tab/>
      </w:r>
      <w:r>
        <w:rPr>
          <w:rFonts w:hint="eastAsia" w:ascii="Arial" w:hAnsi="Arial" w:eastAsia="宋体"/>
        </w:rPr>
        <w:t>ZTE Corporation</w:t>
      </w:r>
    </w:p>
    <w:p>
      <w:pPr>
        <w:tabs>
          <w:tab w:val="left" w:pos="1701"/>
        </w:tabs>
        <w:rPr>
          <w:rFonts w:hint="default" w:ascii="Arial" w:hAnsi="Arial" w:eastAsia="宋体"/>
          <w:lang w:val="en-US" w:eastAsia="zh-CN"/>
        </w:rPr>
      </w:pPr>
      <w:r>
        <w:rPr>
          <w:rFonts w:ascii="Arial" w:hAnsi="Arial" w:eastAsia="宋体"/>
        </w:rPr>
        <w:t>Title:</w:t>
      </w:r>
      <w:r>
        <w:rPr>
          <w:rFonts w:ascii="Arial" w:hAnsi="Arial" w:eastAsia="宋体"/>
        </w:rPr>
        <w:tab/>
      </w:r>
      <w:r>
        <w:rPr>
          <w:rFonts w:hint="eastAsia" w:ascii="Arial" w:hAnsi="Arial" w:eastAsia="宋体"/>
          <w:lang w:val="en-US" w:eastAsia="zh-CN"/>
        </w:rPr>
        <w:t>Discussion on the purpose of data processing management</w:t>
      </w:r>
    </w:p>
    <w:p>
      <w:pPr>
        <w:tabs>
          <w:tab w:val="left" w:pos="1701"/>
        </w:tabs>
        <w:rPr>
          <w:rFonts w:ascii="Arial" w:hAnsi="Arial" w:eastAsia="宋体"/>
        </w:rPr>
      </w:pPr>
      <w:r>
        <w:rPr>
          <w:rFonts w:ascii="Arial" w:hAnsi="Arial" w:eastAsia="宋体"/>
        </w:rPr>
        <w:t>Agenda Item:</w:t>
      </w:r>
      <w:r>
        <w:rPr>
          <w:rFonts w:ascii="Arial" w:hAnsi="Arial" w:eastAsia="宋体"/>
        </w:rPr>
        <w:tab/>
      </w:r>
      <w:r>
        <w:rPr>
          <w:rFonts w:hint="eastAsia" w:ascii="Arial" w:hAnsi="Arial" w:eastAsia="宋体"/>
        </w:rPr>
        <w:t>8.7</w:t>
      </w:r>
    </w:p>
    <w:p>
      <w:pPr>
        <w:tabs>
          <w:tab w:val="left" w:pos="1701"/>
        </w:tabs>
        <w:rPr>
          <w:rFonts w:ascii="Arial" w:hAnsi="Arial" w:eastAsia="宋体"/>
        </w:rPr>
      </w:pPr>
      <w:r>
        <w:rPr>
          <w:rFonts w:ascii="Arial" w:hAnsi="Arial" w:eastAsia="宋体"/>
        </w:rPr>
        <w:t>Contact:</w:t>
      </w:r>
      <w:r>
        <w:rPr>
          <w:rFonts w:ascii="Arial" w:hAnsi="Arial" w:eastAsia="宋体"/>
        </w:rPr>
        <w:tab/>
      </w:r>
      <w:r>
        <w:rPr>
          <w:rFonts w:hint="eastAsia" w:ascii="Arial" w:hAnsi="Arial" w:eastAsia="宋体"/>
        </w:rPr>
        <w:t>Yang Li (li.yang1226@zte.com.cn)</w:t>
      </w:r>
      <w:bookmarkStart w:id="9" w:name="_GoBack"/>
      <w:bookmarkEnd w:id="9"/>
    </w:p>
    <w:p>
      <w:pPr>
        <w:pBdr>
          <w:bottom w:val="single" w:color="auto" w:sz="6" w:space="1"/>
        </w:pBdr>
      </w:pPr>
    </w:p>
    <w:p>
      <w:pPr>
        <w:spacing w:after="200" w:line="276" w:lineRule="auto"/>
        <w:rPr>
          <w:rFonts w:hint="default" w:ascii="Arial" w:hAnsi="Arial" w:eastAsia="宋体" w:cs="Arial"/>
          <w:i/>
          <w:sz w:val="22"/>
          <w:szCs w:val="22"/>
          <w:lang w:val="en-US" w:eastAsia="zh-CN"/>
        </w:rPr>
      </w:pPr>
      <w:r>
        <w:rPr>
          <w:rFonts w:ascii="Arial" w:hAnsi="Arial" w:eastAsia="Calibri" w:cs="Arial"/>
          <w:i/>
          <w:sz w:val="22"/>
          <w:szCs w:val="22"/>
          <w:lang w:val="nl-NL"/>
        </w:rPr>
        <w:t xml:space="preserve">Abstract: </w:t>
      </w:r>
      <w:bookmarkStart w:id="0" w:name="OLE_LINK14"/>
      <w:r>
        <w:rPr>
          <w:rFonts w:hint="eastAsia" w:ascii="Arial" w:hAnsi="Arial" w:eastAsia="宋体" w:cs="Arial"/>
          <w:i/>
          <w:sz w:val="22"/>
          <w:szCs w:val="22"/>
          <w:lang w:val="en-US" w:eastAsia="zh-CN"/>
        </w:rPr>
        <w:t>This paper provides an analysis for</w:t>
      </w:r>
      <w:bookmarkStart w:id="1" w:name="OLE_LINK11"/>
      <w:r>
        <w:rPr>
          <w:rFonts w:hint="eastAsia" w:ascii="Arial" w:hAnsi="Arial" w:eastAsia="宋体" w:cs="Arial"/>
          <w:i/>
          <w:sz w:val="22"/>
          <w:szCs w:val="22"/>
          <w:lang w:val="en-US" w:eastAsia="zh-CN"/>
        </w:rPr>
        <w:t xml:space="preserve"> how to capture the purpose of data processing and where will it be stored.</w:t>
      </w:r>
      <w:bookmarkEnd w:id="0"/>
    </w:p>
    <w:bookmarkEnd w:id="1"/>
    <w:p>
      <w:pPr>
        <w:pStyle w:val="2"/>
        <w:numPr>
          <w:ilvl w:val="0"/>
          <w:numId w:val="1"/>
        </w:numPr>
        <w:bidi w:val="0"/>
        <w:rPr>
          <w:rFonts w:hint="default"/>
          <w:lang w:val="en-US" w:eastAsia="zh-CN"/>
        </w:rPr>
      </w:pPr>
      <w:r>
        <w:rPr>
          <w:rFonts w:hint="eastAsia"/>
          <w:lang w:val="en-US" w:eastAsia="zh-CN"/>
        </w:rPr>
        <w:t>Background</w:t>
      </w:r>
    </w:p>
    <w:p>
      <w:pPr>
        <w:rPr>
          <w:rFonts w:hint="eastAsia" w:eastAsia="宋体"/>
          <w:lang w:val="en-US" w:eastAsia="zh-CN"/>
        </w:rPr>
      </w:pPr>
      <w:r>
        <w:rPr>
          <w:rFonts w:hint="eastAsia" w:eastAsia="宋体"/>
          <w:lang w:val="en-US" w:eastAsia="zh-CN"/>
        </w:rPr>
        <w:t xml:space="preserve">According to clause Annex V.2 in TS 33.501, the user consent parameters shall be bound to the purpose of data processing. </w:t>
      </w:r>
      <w:r>
        <w:rPr>
          <w:lang w:val="en-US"/>
        </w:rPr>
        <w:t>Any NF that is deemed an enforcement point for user consent (e.g., AEF)</w:t>
      </w:r>
      <w:r>
        <w:rPr>
          <w:rFonts w:hint="eastAsia" w:eastAsia="宋体"/>
          <w:lang w:val="en-US" w:eastAsia="zh-CN"/>
        </w:rPr>
        <w:t xml:space="preserve"> shall determine the purpose of data processing prior to the data processing. If the purpose of data processing is not obtained from the service request, the AEF shall request it or otherwise deny the service. </w:t>
      </w:r>
    </w:p>
    <w:tbl>
      <w:tblPr>
        <w:tblStyle w:val="39"/>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6" w:type="dxa"/>
            <w:vAlign w:val="top"/>
          </w:tcPr>
          <w:p>
            <w:pPr>
              <w:pStyle w:val="2"/>
              <w:widowControl w:val="0"/>
              <w:jc w:val="both"/>
              <w:rPr>
                <w:rFonts w:eastAsia="宋体"/>
                <w:lang w:eastAsia="zh-CN"/>
              </w:rPr>
            </w:pPr>
            <w:bookmarkStart w:id="2" w:name="_Toc114221223"/>
            <w:bookmarkStart w:id="3" w:name="_Toc75277458"/>
            <w:r>
              <w:rPr>
                <w:rFonts w:eastAsia="宋体"/>
                <w:lang w:eastAsia="zh-CN"/>
              </w:rPr>
              <w:t>V.2</w:t>
            </w:r>
            <w:r>
              <w:rPr>
                <w:rFonts w:eastAsia="宋体"/>
                <w:lang w:eastAsia="zh-CN"/>
              </w:rPr>
              <w:tab/>
            </w:r>
            <w:r>
              <w:rPr>
                <w:rFonts w:eastAsia="宋体"/>
                <w:lang w:eastAsia="zh-CN"/>
              </w:rPr>
              <w:t>R</w:t>
            </w:r>
            <w:r>
              <w:rPr>
                <w:rFonts w:hint="eastAsia" w:eastAsia="宋体"/>
                <w:lang w:eastAsia="zh-CN"/>
              </w:rPr>
              <w:t>e</w:t>
            </w:r>
            <w:r>
              <w:rPr>
                <w:rFonts w:eastAsia="宋体"/>
                <w:lang w:eastAsia="zh-CN"/>
              </w:rPr>
              <w:t>quirements</w:t>
            </w:r>
            <w:bookmarkEnd w:id="2"/>
          </w:p>
          <w:p>
            <w:pPr>
              <w:widowControl w:val="0"/>
              <w:jc w:val="both"/>
            </w:pPr>
            <w:r>
              <w:t xml:space="preserve">The UDM shall support the following services related to the user consent. </w:t>
            </w:r>
          </w:p>
          <w:p>
            <w:pPr>
              <w:pStyle w:val="81"/>
              <w:widowControl w:val="0"/>
              <w:jc w:val="both"/>
              <w:rPr>
                <w:rFonts w:eastAsia="等线"/>
                <w:lang w:val="en-US"/>
              </w:rPr>
            </w:pPr>
            <w:r>
              <w:t>-</w:t>
            </w:r>
            <w:r>
              <w:tab/>
            </w:r>
            <w:r>
              <w:rPr>
                <w:rFonts w:eastAsia="等线"/>
                <w:lang w:val="en-US"/>
              </w:rPr>
              <w:t>Retrieval of user consent parameters.</w:t>
            </w:r>
          </w:p>
          <w:p>
            <w:pPr>
              <w:pStyle w:val="81"/>
              <w:widowControl w:val="0"/>
              <w:jc w:val="both"/>
              <w:rPr>
                <w:lang w:val="en-US"/>
              </w:rPr>
            </w:pPr>
            <w:r>
              <w:rPr>
                <w:lang w:val="en-US"/>
              </w:rPr>
              <w:t>-</w:t>
            </w:r>
            <w:r>
              <w:rPr>
                <w:lang w:val="en-US"/>
              </w:rPr>
              <w:tab/>
            </w:r>
            <w:r>
              <w:rPr>
                <w:lang w:val="en-US"/>
              </w:rPr>
              <w:t>Notification of user consent parameters change.</w:t>
            </w:r>
          </w:p>
          <w:p>
            <w:pPr>
              <w:widowControl w:val="0"/>
              <w:jc w:val="both"/>
            </w:pPr>
            <w:r>
              <w:t>The user consent parameters shall be stored in the UDM/UDR as subscription data.</w:t>
            </w:r>
          </w:p>
          <w:p>
            <w:pPr>
              <w:widowControl w:val="0"/>
              <w:jc w:val="both"/>
            </w:pPr>
            <w:r>
              <w:t>The user consent parameters shall be bound to a SUPI/GPSI.</w:t>
            </w:r>
          </w:p>
          <w:p>
            <w:pPr>
              <w:widowControl w:val="0"/>
              <w:jc w:val="both"/>
              <w:rPr>
                <w:highlight w:val="yellow"/>
              </w:rPr>
            </w:pPr>
            <w:r>
              <w:rPr>
                <w:highlight w:val="yellow"/>
              </w:rPr>
              <w:t xml:space="preserve">The user consent parameters shall be bound to </w:t>
            </w:r>
            <w:bookmarkStart w:id="4" w:name="OLE_LINK9"/>
            <w:r>
              <w:rPr>
                <w:highlight w:val="yellow"/>
              </w:rPr>
              <w:t>the purpose of data processing</w:t>
            </w:r>
            <w:bookmarkEnd w:id="4"/>
            <w:r>
              <w:rPr>
                <w:highlight w:val="yellow"/>
              </w:rPr>
              <w:t>.</w:t>
            </w:r>
          </w:p>
          <w:p>
            <w:pPr>
              <w:widowControl w:val="0"/>
              <w:jc w:val="both"/>
            </w:pPr>
            <w:r>
              <w:t>The user consent parameters shall include whether the user consent is granted or not.</w:t>
            </w:r>
          </w:p>
          <w:p>
            <w:pPr>
              <w:widowControl w:val="0"/>
              <w:jc w:val="both"/>
            </w:pPr>
            <w:r>
              <w:t>The user consent shall be effective only after the point in time that user consent was given.</w:t>
            </w:r>
            <w:r>
              <w:rPr>
                <w:rFonts w:eastAsia="等线"/>
                <w:lang w:val="en-US" w:eastAsia="zh-CN"/>
              </w:rPr>
              <w:t>The user consent shall be effective until revoked. It means that there is no expiry/validity timer for the user consent parameters stored in the subscription data.</w:t>
            </w:r>
          </w:p>
          <w:p>
            <w:pPr>
              <w:pStyle w:val="62"/>
              <w:widowControl w:val="0"/>
              <w:jc w:val="both"/>
            </w:pPr>
            <w:r>
              <w:t>NOTE:</w:t>
            </w:r>
            <w:r>
              <w:tab/>
            </w:r>
            <w:r>
              <w:t>UDM does not provide user consent revocation service, it only provides notifications of user consent parameter changes</w:t>
            </w:r>
            <w:r>
              <w:rPr>
                <w:rFonts w:hint="eastAsia"/>
                <w:lang w:eastAsia="zh-CN"/>
              </w:rPr>
              <w:t>.</w:t>
            </w:r>
          </w:p>
          <w:p>
            <w:pPr>
              <w:pStyle w:val="2"/>
              <w:widowControl w:val="0"/>
              <w:jc w:val="both"/>
              <w:rPr>
                <w:rFonts w:eastAsia="宋体"/>
              </w:rPr>
            </w:pPr>
            <w:bookmarkStart w:id="5" w:name="_Toc114221224"/>
            <w:r>
              <w:rPr>
                <w:rFonts w:eastAsia="宋体"/>
              </w:rPr>
              <w:t>V.3</w:t>
            </w:r>
            <w:r>
              <w:rPr>
                <w:rFonts w:eastAsia="宋体"/>
              </w:rPr>
              <w:tab/>
            </w:r>
            <w:bookmarkEnd w:id="3"/>
            <w:r>
              <w:rPr>
                <w:rFonts w:eastAsia="宋体"/>
              </w:rPr>
              <w:t>User consent check</w:t>
            </w:r>
            <w:bookmarkEnd w:id="5"/>
          </w:p>
          <w:p>
            <w:pPr>
              <w:widowControl w:val="0"/>
              <w:jc w:val="both"/>
              <w:rPr>
                <w:lang w:eastAsia="zh-CN"/>
              </w:rPr>
            </w:pPr>
            <w:r>
              <w:rPr>
                <w:lang w:eastAsia="zh-CN"/>
              </w:rPr>
              <w:t>Any</w:t>
            </w:r>
            <w:r>
              <w:rPr>
                <w:rFonts w:hint="eastAsia"/>
                <w:lang w:eastAsia="zh-CN"/>
              </w:rPr>
              <w:t xml:space="preserve"> NF </w:t>
            </w:r>
            <w:r>
              <w:rPr>
                <w:lang w:eastAsia="zh-CN"/>
              </w:rPr>
              <w:t>that is deemed an enforcement point for</w:t>
            </w:r>
            <w:r>
              <w:rPr>
                <w:rFonts w:hint="eastAsia"/>
                <w:lang w:eastAsia="zh-CN"/>
              </w:rPr>
              <w:t xml:space="preserve"> user consent</w:t>
            </w:r>
            <w:r>
              <w:rPr>
                <w:lang w:eastAsia="zh-CN"/>
              </w:rPr>
              <w:t xml:space="preserve"> shall support to retrieve the user consent parameters from the UDM. </w:t>
            </w:r>
          </w:p>
          <w:p>
            <w:pPr>
              <w:widowControl w:val="0"/>
              <w:jc w:val="both"/>
              <w:rPr>
                <w:lang w:eastAsia="zh-CN"/>
              </w:rPr>
            </w:pPr>
            <w:r>
              <w:rPr>
                <w:lang w:eastAsia="zh-CN"/>
              </w:rPr>
              <w:t>Any</w:t>
            </w:r>
            <w:r>
              <w:rPr>
                <w:rFonts w:hint="eastAsia"/>
                <w:lang w:eastAsia="zh-CN"/>
              </w:rPr>
              <w:t xml:space="preserve"> NF </w:t>
            </w:r>
            <w:r>
              <w:rPr>
                <w:lang w:eastAsia="zh-CN"/>
              </w:rPr>
              <w:t>that is deemed an enforcement point for</w:t>
            </w:r>
            <w:r>
              <w:rPr>
                <w:rFonts w:hint="eastAsia"/>
                <w:lang w:eastAsia="zh-CN"/>
              </w:rPr>
              <w:t xml:space="preserve"> user consent</w:t>
            </w:r>
            <w:r>
              <w:rPr>
                <w:lang w:eastAsia="zh-CN"/>
              </w:rPr>
              <w:t xml:space="preserve"> shall not accept any services or requests for data processing unless user consent is granted.</w:t>
            </w:r>
          </w:p>
          <w:p>
            <w:pPr>
              <w:widowControl w:val="0"/>
              <w:jc w:val="both"/>
              <w:rPr>
                <w:highlight w:val="yellow"/>
                <w:lang w:eastAsia="zh-CN"/>
              </w:rPr>
            </w:pPr>
            <w:r>
              <w:rPr>
                <w:highlight w:val="yellow"/>
              </w:rPr>
              <w:t>Any NF that is deemed an enforcement point for user consent shall determine the purpose of data processing prior to the data processing. If the purpose of data processing is not implicitly known from the service request, the user consent enforcement point shall request it or otherwise deny the service.</w:t>
            </w:r>
          </w:p>
          <w:p>
            <w:pPr>
              <w:widowControl w:val="0"/>
              <w:jc w:val="both"/>
              <w:rPr>
                <w:rFonts w:hint="eastAsia" w:eastAsia="宋体"/>
                <w:vertAlign w:val="baseline"/>
                <w:lang w:val="en-US" w:eastAsia="zh-CN"/>
              </w:rPr>
            </w:pPr>
            <w:r>
              <w:rPr>
                <w:rFonts w:eastAsia="等线"/>
                <w:lang w:val="en-US" w:eastAsia="zh-CN"/>
              </w:rPr>
              <w:t>NFs obtaining or checking the user consent parameters shall consider the user consent parameters as effective until revoked.</w:t>
            </w:r>
          </w:p>
        </w:tc>
      </w:tr>
    </w:tbl>
    <w:p>
      <w:pPr>
        <w:rPr>
          <w:rFonts w:hint="eastAsia" w:eastAsia="宋体"/>
          <w:lang w:val="en-US" w:eastAsia="zh-CN"/>
        </w:rPr>
      </w:pPr>
    </w:p>
    <w:p>
      <w:pPr>
        <w:spacing w:after="200" w:line="276" w:lineRule="auto"/>
        <w:rPr>
          <w:rFonts w:hint="default" w:eastAsia="宋体"/>
          <w:lang w:val="en-US" w:eastAsia="zh-CN"/>
        </w:rPr>
      </w:pPr>
      <w:r>
        <w:rPr>
          <w:rFonts w:hint="eastAsia" w:eastAsia="宋体"/>
          <w:lang w:val="en-US" w:eastAsia="zh-CN"/>
        </w:rPr>
        <w:t>In this discussion paper, an analysis for how to capture the purpose of data processing and where will it be stored.</w:t>
      </w:r>
    </w:p>
    <w:p>
      <w:pPr>
        <w:pStyle w:val="2"/>
        <w:numPr>
          <w:ilvl w:val="0"/>
          <w:numId w:val="1"/>
        </w:numPr>
        <w:bidi w:val="0"/>
        <w:ind w:left="1134" w:leftChars="0" w:hanging="1134" w:firstLineChars="0"/>
        <w:rPr>
          <w:rFonts w:hint="default"/>
          <w:lang w:val="en-US" w:eastAsia="zh-CN"/>
        </w:rPr>
      </w:pPr>
      <w:r>
        <w:rPr>
          <w:rFonts w:hint="eastAsia"/>
          <w:lang w:val="en-US" w:eastAsia="zh-CN"/>
        </w:rPr>
        <w:t>Discussion</w:t>
      </w:r>
    </w:p>
    <w:p>
      <w:pPr>
        <w:numPr>
          <w:ilvl w:val="0"/>
          <w:numId w:val="0"/>
        </w:numPr>
        <w:ind w:leftChars="0"/>
        <w:rPr>
          <w:rFonts w:hint="default"/>
          <w:b w:val="0"/>
          <w:bCs w:val="0"/>
          <w:lang w:val="en-US" w:eastAsia="zh-CN"/>
        </w:rPr>
      </w:pPr>
      <w:bookmarkStart w:id="6" w:name="OLE_LINK2"/>
      <w:r>
        <w:rPr>
          <w:rFonts w:hint="eastAsia"/>
          <w:b w:val="0"/>
          <w:bCs w:val="0"/>
          <w:lang w:val="en-US" w:eastAsia="zh-CN"/>
        </w:rPr>
        <w:t xml:space="preserve">Generally, </w:t>
      </w:r>
      <w:bookmarkStart w:id="7" w:name="OLE_LINK1"/>
      <w:r>
        <w:rPr>
          <w:rFonts w:hint="eastAsia"/>
          <w:b w:val="0"/>
          <w:bCs w:val="0"/>
          <w:lang w:val="en-US" w:eastAsia="zh-CN"/>
        </w:rPr>
        <w:t>the purpose of data processing depends on business requirements which is provided by the API invoker, and shall comply with local regulations</w:t>
      </w:r>
      <w:bookmarkEnd w:id="7"/>
      <w:r>
        <w:rPr>
          <w:rFonts w:hint="eastAsia"/>
          <w:b w:val="0"/>
          <w:bCs w:val="0"/>
          <w:lang w:val="en-US" w:eastAsia="zh-CN"/>
        </w:rPr>
        <w:t xml:space="preserve">. Therefore, </w:t>
      </w:r>
      <w:bookmarkStart w:id="8" w:name="OLE_LINK12"/>
      <w:r>
        <w:rPr>
          <w:rFonts w:hint="eastAsia"/>
          <w:b w:val="0"/>
          <w:bCs w:val="0"/>
          <w:lang w:val="en-US" w:eastAsia="zh-CN"/>
        </w:rPr>
        <w:t xml:space="preserve">the purpose of data processing can be considered to be provided by the API invoker. </w:t>
      </w:r>
      <w:r>
        <w:rPr>
          <w:rFonts w:hint="default"/>
          <w:b w:val="0"/>
          <w:bCs w:val="0"/>
          <w:lang w:val="en-US" w:eastAsia="zh-CN"/>
        </w:rPr>
        <w:t>To ensure that the purpose of data processing complies with local regulations, consideration should be given to conducting a legality check on the purpose of data processing provided by the API invoker.</w:t>
      </w:r>
    </w:p>
    <w:p>
      <w:pPr>
        <w:numPr>
          <w:ilvl w:val="0"/>
          <w:numId w:val="0"/>
        </w:numPr>
        <w:ind w:leftChars="0"/>
        <w:rPr>
          <w:rFonts w:hint="default"/>
          <w:b/>
          <w:bCs/>
          <w:lang w:val="en-US" w:eastAsia="zh-CN"/>
        </w:rPr>
      </w:pPr>
      <w:r>
        <w:rPr>
          <w:rFonts w:hint="eastAsia"/>
          <w:b/>
          <w:bCs/>
          <w:lang w:val="en-US" w:eastAsia="zh-CN"/>
        </w:rPr>
        <w:t>Observation</w:t>
      </w:r>
      <w:r>
        <w:rPr>
          <w:rFonts w:hint="eastAsia"/>
          <w:b/>
          <w:bCs/>
          <w:lang w:val="en-US" w:eastAsia="zh-CN"/>
        </w:rPr>
        <w:tab/>
      </w:r>
      <w:r>
        <w:rPr>
          <w:rFonts w:hint="eastAsia"/>
          <w:b/>
          <w:bCs/>
          <w:lang w:val="en-US" w:eastAsia="zh-CN"/>
        </w:rPr>
        <w:t>1: The purpose of data processing depends on business requirements, and shall comply with local regulations.</w:t>
      </w:r>
    </w:p>
    <w:bookmarkEnd w:id="8"/>
    <w:p>
      <w:pPr>
        <w:numPr>
          <w:ilvl w:val="0"/>
          <w:numId w:val="0"/>
        </w:numPr>
        <w:ind w:leftChars="0"/>
        <w:rPr>
          <w:rFonts w:hint="default"/>
          <w:b/>
          <w:bCs/>
          <w:lang w:val="en-US" w:eastAsia="zh-CN"/>
        </w:rPr>
      </w:pPr>
      <w:r>
        <w:rPr>
          <w:rFonts w:hint="eastAsia"/>
          <w:b/>
          <w:bCs/>
          <w:lang w:val="en-US" w:eastAsia="zh-CN"/>
        </w:rPr>
        <w:t>Proposal</w:t>
      </w:r>
      <w:r>
        <w:rPr>
          <w:rFonts w:hint="eastAsia"/>
          <w:b/>
          <w:bCs/>
          <w:lang w:val="en-US" w:eastAsia="zh-CN"/>
        </w:rPr>
        <w:tab/>
      </w:r>
      <w:r>
        <w:rPr>
          <w:rFonts w:hint="eastAsia"/>
          <w:b/>
          <w:bCs/>
          <w:lang w:val="en-US" w:eastAsia="zh-CN"/>
        </w:rPr>
        <w:t>1: The purpose of data processing can be considered to be provided by the API invoker.</w:t>
      </w:r>
    </w:p>
    <w:p>
      <w:pPr>
        <w:numPr>
          <w:ilvl w:val="0"/>
          <w:numId w:val="0"/>
        </w:numPr>
        <w:ind w:leftChars="0"/>
        <w:rPr>
          <w:rFonts w:hint="default"/>
          <w:lang w:val="en-US" w:eastAsia="zh-CN"/>
        </w:rPr>
      </w:pPr>
      <w:r>
        <w:rPr>
          <w:rFonts w:hint="default"/>
          <w:lang w:val="en-US" w:eastAsia="zh-CN"/>
        </w:rPr>
        <w:t>To assist the AEF in obtaining the purpose of data processing before data processing commences, several methods for acquiring the purpose of data processing can be considered.</w:t>
      </w:r>
    </w:p>
    <w:p>
      <w:pPr>
        <w:numPr>
          <w:ilvl w:val="0"/>
          <w:numId w:val="2"/>
        </w:numPr>
        <w:ind w:left="420" w:leftChars="0" w:hanging="420" w:firstLineChars="0"/>
        <w:rPr>
          <w:rFonts w:hint="default"/>
          <w:lang w:val="en-US" w:eastAsia="zh-CN"/>
        </w:rPr>
      </w:pPr>
      <w:r>
        <w:rPr>
          <w:rFonts w:hint="eastAsia"/>
          <w:lang w:val="en-US" w:eastAsia="zh-CN"/>
        </w:rPr>
        <w:t xml:space="preserve">Option 1: </w:t>
      </w:r>
      <w:r>
        <w:rPr>
          <w:rFonts w:hint="default"/>
          <w:lang w:val="en-US" w:eastAsia="zh-CN"/>
        </w:rPr>
        <w:t xml:space="preserve">The API invoker sends the purpose of data processing to the CCF for </w:t>
      </w:r>
      <w:r>
        <w:rPr>
          <w:rFonts w:hint="eastAsia"/>
          <w:lang w:val="en-US" w:eastAsia="zh-CN"/>
        </w:rPr>
        <w:t xml:space="preserve">check and </w:t>
      </w:r>
      <w:r>
        <w:rPr>
          <w:rFonts w:hint="default"/>
          <w:lang w:val="en-US" w:eastAsia="zh-CN"/>
        </w:rPr>
        <w:t xml:space="preserve">storage. When the AEF receives a service invocation request, </w:t>
      </w:r>
      <w:r>
        <w:rPr>
          <w:rFonts w:hint="eastAsia"/>
          <w:lang w:val="en-US" w:eastAsia="zh-CN"/>
        </w:rPr>
        <w:t xml:space="preserve">if there is no stored purpose of data processing, </w:t>
      </w:r>
      <w:r>
        <w:rPr>
          <w:rFonts w:hint="default"/>
          <w:lang w:val="en-US" w:eastAsia="zh-CN"/>
        </w:rPr>
        <w:t>it requests relevant information from the CCF.</w:t>
      </w:r>
    </w:p>
    <w:p>
      <w:pPr>
        <w:numPr>
          <w:ilvl w:val="0"/>
          <w:numId w:val="2"/>
        </w:numPr>
        <w:ind w:left="420" w:leftChars="0" w:hanging="420" w:firstLineChars="0"/>
        <w:rPr>
          <w:rFonts w:hint="default"/>
          <w:lang w:val="en-US" w:eastAsia="zh-CN"/>
        </w:rPr>
      </w:pPr>
      <w:r>
        <w:rPr>
          <w:rFonts w:hint="eastAsia"/>
          <w:lang w:val="en-US" w:eastAsia="zh-CN"/>
        </w:rPr>
        <w:t xml:space="preserve">Option 2: </w:t>
      </w:r>
      <w:r>
        <w:rPr>
          <w:rFonts w:hint="default"/>
          <w:lang w:val="en-US" w:eastAsia="zh-CN"/>
        </w:rPr>
        <w:t>The API invoker includes the purpose of data processing in the service invocation request and sends it to the AEF.</w:t>
      </w:r>
    </w:p>
    <w:p>
      <w:pPr>
        <w:numPr>
          <w:ilvl w:val="0"/>
          <w:numId w:val="2"/>
        </w:numPr>
        <w:ind w:left="420" w:leftChars="0" w:hanging="420" w:firstLineChars="0"/>
        <w:rPr>
          <w:rFonts w:hint="default"/>
          <w:lang w:val="en-US" w:eastAsia="zh-CN"/>
        </w:rPr>
      </w:pPr>
      <w:r>
        <w:rPr>
          <w:rFonts w:hint="eastAsia"/>
          <w:lang w:val="en-US" w:eastAsia="zh-CN"/>
        </w:rPr>
        <w:t xml:space="preserve">Option 3: </w:t>
      </w:r>
      <w:r>
        <w:rPr>
          <w:rFonts w:hint="default"/>
          <w:lang w:val="en-US" w:eastAsia="zh-CN"/>
        </w:rPr>
        <w:t>The API invoker initially sends the purpose of data processing to the CCF for</w:t>
      </w:r>
      <w:r>
        <w:rPr>
          <w:rFonts w:hint="eastAsia"/>
          <w:lang w:val="en-US" w:eastAsia="zh-CN"/>
        </w:rPr>
        <w:t xml:space="preserve"> check and</w:t>
      </w:r>
      <w:r>
        <w:rPr>
          <w:rFonts w:hint="default"/>
          <w:lang w:val="en-US" w:eastAsia="zh-CN"/>
        </w:rPr>
        <w:t xml:space="preserve"> storage.</w:t>
      </w:r>
      <w:r>
        <w:rPr>
          <w:rFonts w:hint="eastAsia"/>
          <w:lang w:val="en-US" w:eastAsia="zh-CN"/>
        </w:rPr>
        <w:t xml:space="preserve"> </w:t>
      </w:r>
      <w:r>
        <w:rPr>
          <w:rFonts w:hint="default"/>
          <w:lang w:val="en-US" w:eastAsia="zh-CN"/>
        </w:rPr>
        <w:t>Subsequently, when sending service invocation requests, it also transmits the purpose of data processing to the AEF. The AEF initiates a verification process with the CCF to ensure that the purpose of data processing is consistent with the stored information.</w:t>
      </w:r>
    </w:p>
    <w:p>
      <w:pPr>
        <w:numPr>
          <w:ilvl w:val="0"/>
          <w:numId w:val="0"/>
        </w:numPr>
        <w:overflowPunct w:val="0"/>
        <w:autoSpaceDE w:val="0"/>
        <w:autoSpaceDN w:val="0"/>
        <w:adjustRightInd w:val="0"/>
        <w:spacing w:after="180"/>
        <w:textAlignment w:val="baseline"/>
        <w:rPr>
          <w:rFonts w:hint="eastAsia"/>
          <w:lang w:val="en-US" w:eastAsia="zh-CN"/>
        </w:rPr>
      </w:pPr>
      <w:r>
        <w:rPr>
          <w:rFonts w:hint="eastAsia"/>
          <w:lang w:val="en-US" w:eastAsia="zh-CN"/>
        </w:rPr>
        <w:t>Compared to AEF, t</w:t>
      </w:r>
      <w:r>
        <w:rPr>
          <w:rFonts w:hint="default"/>
          <w:lang w:val="en-US" w:eastAsia="zh-CN"/>
        </w:rPr>
        <w:t>he CCF, as a central trusted node, is more suitable to perform the verification</w:t>
      </w:r>
      <w:r>
        <w:rPr>
          <w:rFonts w:hint="eastAsia"/>
          <w:lang w:val="en-US" w:eastAsia="zh-CN"/>
        </w:rPr>
        <w:t xml:space="preserve"> work. Thus, o</w:t>
      </w:r>
      <w:r>
        <w:rPr>
          <w:rFonts w:hint="default"/>
          <w:lang w:val="en-US" w:eastAsia="zh-CN"/>
        </w:rPr>
        <w:t>ption 2 is less suitable.</w:t>
      </w:r>
      <w:r>
        <w:rPr>
          <w:rFonts w:hint="eastAsia"/>
          <w:lang w:val="en-US" w:eastAsia="zh-CN"/>
        </w:rPr>
        <w:t xml:space="preserve"> Option 3, combining the interaction processes of the previous two options, can reduce the potential risk of information tampering, thereby enhancing the security of the information.</w:t>
      </w:r>
    </w:p>
    <w:p>
      <w:pPr>
        <w:numPr>
          <w:ilvl w:val="0"/>
          <w:numId w:val="0"/>
        </w:numPr>
        <w:overflowPunct w:val="0"/>
        <w:autoSpaceDE w:val="0"/>
        <w:autoSpaceDN w:val="0"/>
        <w:adjustRightInd w:val="0"/>
        <w:spacing w:after="180"/>
        <w:textAlignment w:val="baseline"/>
        <w:rPr>
          <w:rFonts w:hint="eastAsia"/>
          <w:b/>
          <w:bCs/>
          <w:lang w:val="en-US" w:eastAsia="zh-CN"/>
        </w:rPr>
      </w:pPr>
      <w:r>
        <w:rPr>
          <w:rFonts w:hint="eastAsia"/>
          <w:b/>
          <w:bCs/>
          <w:lang w:val="en-US" w:eastAsia="zh-CN"/>
        </w:rPr>
        <w:t xml:space="preserve">Proposal </w:t>
      </w:r>
      <w:r>
        <w:rPr>
          <w:rFonts w:hint="eastAsia"/>
          <w:b/>
          <w:bCs/>
          <w:lang w:val="en-US" w:eastAsia="zh-CN"/>
        </w:rPr>
        <w:tab/>
      </w:r>
      <w:r>
        <w:rPr>
          <w:rFonts w:hint="eastAsia"/>
          <w:b/>
          <w:bCs/>
          <w:lang w:val="en-US" w:eastAsia="zh-CN"/>
        </w:rPr>
        <w:t>2: The CCF is used to verify whether the purpose of data processing complies with local regulations.</w:t>
      </w:r>
    </w:p>
    <w:p>
      <w:pPr>
        <w:numPr>
          <w:ilvl w:val="0"/>
          <w:numId w:val="0"/>
        </w:numPr>
        <w:overflowPunct w:val="0"/>
        <w:autoSpaceDE w:val="0"/>
        <w:autoSpaceDN w:val="0"/>
        <w:adjustRightInd w:val="0"/>
        <w:spacing w:after="180"/>
        <w:textAlignment w:val="baseline"/>
        <w:rPr>
          <w:rFonts w:hint="eastAsia"/>
          <w:b/>
          <w:bCs/>
          <w:lang w:val="en-US" w:eastAsia="zh-CN"/>
        </w:rPr>
      </w:pPr>
      <w:r>
        <w:rPr>
          <w:rFonts w:hint="eastAsia"/>
          <w:b/>
          <w:bCs/>
          <w:lang w:val="en-US" w:eastAsia="zh-CN"/>
        </w:rPr>
        <w:t xml:space="preserve">Proposal </w:t>
      </w:r>
      <w:r>
        <w:rPr>
          <w:rFonts w:hint="eastAsia"/>
          <w:b/>
          <w:bCs/>
          <w:lang w:val="en-US" w:eastAsia="zh-CN"/>
        </w:rPr>
        <w:tab/>
      </w:r>
      <w:r>
        <w:rPr>
          <w:rFonts w:hint="eastAsia"/>
          <w:b/>
          <w:bCs/>
          <w:lang w:val="en-US" w:eastAsia="zh-CN"/>
        </w:rPr>
        <w:t>3: Considering the characteristics of the purpose of data processing information, Option 1 is more suitable; however, if there are concerns about security, Option 3 can also be considered.</w:t>
      </w:r>
    </w:p>
    <w:bookmarkEnd w:id="6"/>
    <w:p>
      <w:pPr>
        <w:pStyle w:val="2"/>
        <w:bidi w:val="0"/>
        <w:rPr>
          <w:rFonts w:hint="default"/>
          <w:lang w:val="en-US" w:eastAsia="zh-CN"/>
        </w:rPr>
      </w:pPr>
      <w:r>
        <w:rPr>
          <w:rFonts w:hint="eastAsia"/>
          <w:lang w:val="en-US" w:eastAsia="zh-CN"/>
        </w:rPr>
        <w:t>3 Conclusion</w:t>
      </w:r>
    </w:p>
    <w:p>
      <w:pPr>
        <w:numPr>
          <w:ilvl w:val="0"/>
          <w:numId w:val="0"/>
        </w:numPr>
        <w:overflowPunct w:val="0"/>
        <w:autoSpaceDE w:val="0"/>
        <w:autoSpaceDN w:val="0"/>
        <w:adjustRightInd w:val="0"/>
        <w:spacing w:after="180"/>
        <w:ind w:leftChars="0"/>
        <w:textAlignment w:val="baseline"/>
        <w:rPr>
          <w:rFonts w:hint="eastAsia"/>
          <w:lang w:val="en-US" w:eastAsia="zh-CN"/>
        </w:rPr>
      </w:pPr>
      <w:r>
        <w:rPr>
          <w:rFonts w:hint="eastAsia"/>
          <w:lang w:val="en-US" w:eastAsia="zh-CN"/>
        </w:rPr>
        <w:t xml:space="preserve">In this discussion paper, we first clarified the characteristics of the purpose of data processing information and who should provide it. Secondly, we outlined possible processes for acquiring and storing the purpose of data processing. Finally, based on the information characteristics, we provided process recommendations. </w:t>
      </w:r>
    </w:p>
    <w:p>
      <w:pPr>
        <w:numPr>
          <w:ilvl w:val="0"/>
          <w:numId w:val="0"/>
        </w:numPr>
        <w:ind w:leftChars="0"/>
        <w:rPr>
          <w:rFonts w:hint="default"/>
          <w:b/>
          <w:bCs/>
          <w:lang w:val="en-US" w:eastAsia="zh-CN"/>
        </w:rPr>
      </w:pPr>
      <w:r>
        <w:rPr>
          <w:rFonts w:hint="eastAsia"/>
          <w:b/>
          <w:bCs/>
          <w:lang w:val="en-US" w:eastAsia="zh-CN"/>
        </w:rPr>
        <w:t>Observation</w:t>
      </w:r>
      <w:r>
        <w:rPr>
          <w:rFonts w:hint="eastAsia"/>
          <w:b/>
          <w:bCs/>
          <w:lang w:val="en-US" w:eastAsia="zh-CN"/>
        </w:rPr>
        <w:tab/>
      </w:r>
      <w:r>
        <w:rPr>
          <w:rFonts w:hint="eastAsia"/>
          <w:b/>
          <w:bCs/>
          <w:lang w:val="en-US" w:eastAsia="zh-CN"/>
        </w:rPr>
        <w:t>1: The purpose of data processing depends on business requirements, and shall comply with local regulations.</w:t>
      </w:r>
    </w:p>
    <w:p>
      <w:pPr>
        <w:numPr>
          <w:ilvl w:val="0"/>
          <w:numId w:val="0"/>
        </w:numPr>
        <w:ind w:leftChars="0"/>
        <w:rPr>
          <w:rFonts w:hint="default"/>
          <w:b/>
          <w:bCs/>
          <w:lang w:val="en-US" w:eastAsia="zh-CN"/>
        </w:rPr>
      </w:pPr>
      <w:r>
        <w:rPr>
          <w:rFonts w:hint="eastAsia"/>
          <w:b/>
          <w:bCs/>
          <w:lang w:val="en-US" w:eastAsia="zh-CN"/>
        </w:rPr>
        <w:t>Proposal</w:t>
      </w:r>
      <w:r>
        <w:rPr>
          <w:rFonts w:hint="eastAsia"/>
          <w:b/>
          <w:bCs/>
          <w:lang w:val="en-US" w:eastAsia="zh-CN"/>
        </w:rPr>
        <w:tab/>
      </w:r>
      <w:r>
        <w:rPr>
          <w:rFonts w:hint="eastAsia"/>
          <w:b/>
          <w:bCs/>
          <w:lang w:val="en-US" w:eastAsia="zh-CN"/>
        </w:rPr>
        <w:t>1: The purpose of data processing can be considered to be provided by the API invoker.</w:t>
      </w:r>
    </w:p>
    <w:p>
      <w:pPr>
        <w:numPr>
          <w:ilvl w:val="0"/>
          <w:numId w:val="0"/>
        </w:numPr>
        <w:overflowPunct w:val="0"/>
        <w:autoSpaceDE w:val="0"/>
        <w:autoSpaceDN w:val="0"/>
        <w:adjustRightInd w:val="0"/>
        <w:spacing w:after="180"/>
        <w:textAlignment w:val="baseline"/>
        <w:rPr>
          <w:rFonts w:hint="eastAsia"/>
          <w:b/>
          <w:bCs/>
          <w:lang w:val="en-US" w:eastAsia="zh-CN"/>
        </w:rPr>
      </w:pPr>
      <w:r>
        <w:rPr>
          <w:rFonts w:hint="eastAsia"/>
          <w:b/>
          <w:bCs/>
          <w:lang w:val="en-US" w:eastAsia="zh-CN"/>
        </w:rPr>
        <w:t xml:space="preserve">Proposal </w:t>
      </w:r>
      <w:r>
        <w:rPr>
          <w:rFonts w:hint="eastAsia"/>
          <w:b/>
          <w:bCs/>
          <w:lang w:val="en-US" w:eastAsia="zh-CN"/>
        </w:rPr>
        <w:tab/>
      </w:r>
      <w:r>
        <w:rPr>
          <w:rFonts w:hint="eastAsia"/>
          <w:b/>
          <w:bCs/>
          <w:lang w:val="en-US" w:eastAsia="zh-CN"/>
        </w:rPr>
        <w:t>2: The CCF is used to verify whether the purpose of data processing complies with local regulations.</w:t>
      </w:r>
    </w:p>
    <w:p>
      <w:pPr>
        <w:numPr>
          <w:ilvl w:val="0"/>
          <w:numId w:val="0"/>
        </w:numPr>
        <w:overflowPunct w:val="0"/>
        <w:autoSpaceDE w:val="0"/>
        <w:autoSpaceDN w:val="0"/>
        <w:adjustRightInd w:val="0"/>
        <w:spacing w:after="180"/>
        <w:textAlignment w:val="baseline"/>
        <w:rPr>
          <w:rFonts w:hint="eastAsia"/>
          <w:b/>
          <w:bCs/>
          <w:lang w:val="en-US" w:eastAsia="zh-CN"/>
        </w:rPr>
      </w:pPr>
      <w:r>
        <w:rPr>
          <w:rFonts w:hint="eastAsia"/>
          <w:b/>
          <w:bCs/>
          <w:lang w:val="en-US" w:eastAsia="zh-CN"/>
        </w:rPr>
        <w:t xml:space="preserve">Proposal </w:t>
      </w:r>
      <w:r>
        <w:rPr>
          <w:rFonts w:hint="eastAsia"/>
          <w:b/>
          <w:bCs/>
          <w:lang w:val="en-US" w:eastAsia="zh-CN"/>
        </w:rPr>
        <w:tab/>
      </w:r>
      <w:r>
        <w:rPr>
          <w:rFonts w:hint="eastAsia"/>
          <w:b/>
          <w:bCs/>
          <w:lang w:val="en-US" w:eastAsia="zh-CN"/>
        </w:rPr>
        <w:t>3: Considering the characteristics of the purpose of data processing information, Option 1 is more suitable; however, if there are concerns about security, Option 3 can also be considered.</w:t>
      </w:r>
    </w:p>
    <w:p>
      <w:pPr>
        <w:numPr>
          <w:ilvl w:val="0"/>
          <w:numId w:val="0"/>
        </w:numPr>
        <w:overflowPunct w:val="0"/>
        <w:autoSpaceDE w:val="0"/>
        <w:autoSpaceDN w:val="0"/>
        <w:adjustRightInd w:val="0"/>
        <w:spacing w:after="180"/>
        <w:ind w:leftChars="0"/>
        <w:textAlignment w:val="baseline"/>
        <w:rPr>
          <w:rFonts w:hint="eastAsia"/>
          <w:lang w:val="en-US" w:eastAsia="zh-CN"/>
        </w:rPr>
      </w:pPr>
    </w:p>
    <w:p>
      <w:pPr>
        <w:numPr>
          <w:ilvl w:val="0"/>
          <w:numId w:val="0"/>
        </w:numPr>
        <w:overflowPunct w:val="0"/>
        <w:autoSpaceDE w:val="0"/>
        <w:autoSpaceDN w:val="0"/>
        <w:adjustRightInd w:val="0"/>
        <w:spacing w:after="180"/>
        <w:ind w:leftChars="0"/>
        <w:textAlignment w:val="baseline"/>
        <w:rPr>
          <w:rFonts w:hint="default"/>
          <w:lang w:val="en-US" w:eastAsia="zh-CN"/>
        </w:rPr>
      </w:pPr>
    </w:p>
    <w:p>
      <w:pPr>
        <w:rPr>
          <w:rFonts w:hint="default"/>
          <w:lang w:val="en-US" w:eastAsia="zh-CN"/>
        </w:rPr>
      </w:pPr>
    </w:p>
    <w:p>
      <w:pPr>
        <w:rPr>
          <w:rFonts w:hint="default"/>
          <w:lang w:val="en-US" w:eastAsia="zh-CN"/>
        </w:rPr>
      </w:pPr>
    </w:p>
    <w:p>
      <w:pPr>
        <w:numPr>
          <w:ilvl w:val="0"/>
          <w:numId w:val="0"/>
        </w:numPr>
        <w:overflowPunct w:val="0"/>
        <w:autoSpaceDE w:val="0"/>
        <w:autoSpaceDN w:val="0"/>
        <w:adjustRightInd w:val="0"/>
        <w:spacing w:after="180"/>
        <w:textAlignment w:val="baseline"/>
        <w:rPr>
          <w:rFonts w:hint="default"/>
          <w:lang w:val="en-US" w:eastAsia="zh-CN"/>
        </w:rPr>
      </w:pPr>
    </w:p>
    <w:p>
      <w:pPr>
        <w:numPr>
          <w:ilvl w:val="0"/>
          <w:numId w:val="0"/>
        </w:numPr>
        <w:overflowPunct w:val="0"/>
        <w:autoSpaceDE w:val="0"/>
        <w:autoSpaceDN w:val="0"/>
        <w:adjustRightInd w:val="0"/>
        <w:spacing w:after="180"/>
        <w:textAlignment w:val="baseline"/>
        <w:rPr>
          <w:rFonts w:hint="default"/>
          <w:lang w:val="en-US" w:eastAsia="zh-CN"/>
        </w:rPr>
      </w:pPr>
    </w:p>
    <w:p>
      <w:pPr>
        <w:numPr>
          <w:ilvl w:val="0"/>
          <w:numId w:val="0"/>
        </w:numPr>
        <w:overflowPunct w:val="0"/>
        <w:autoSpaceDE w:val="0"/>
        <w:autoSpaceDN w:val="0"/>
        <w:adjustRightInd w:val="0"/>
        <w:spacing w:after="180"/>
        <w:textAlignment w:val="baseline"/>
        <w:rPr>
          <w:rFonts w:hint="default"/>
          <w:lang w:val="en-US" w:eastAsia="zh-CN"/>
        </w:rPr>
      </w:pPr>
    </w:p>
    <w:p>
      <w:pPr>
        <w:numPr>
          <w:ilvl w:val="0"/>
          <w:numId w:val="0"/>
        </w:numPr>
        <w:overflowPunct w:val="0"/>
        <w:autoSpaceDE w:val="0"/>
        <w:autoSpaceDN w:val="0"/>
        <w:adjustRightInd w:val="0"/>
        <w:spacing w:after="180"/>
        <w:textAlignment w:val="baseline"/>
        <w:rPr>
          <w:rFonts w:hint="default"/>
          <w:lang w:val="en-US" w:eastAsia="zh-CN"/>
        </w:rPr>
      </w:pPr>
    </w:p>
    <w:p>
      <w:pPr>
        <w:numPr>
          <w:ilvl w:val="0"/>
          <w:numId w:val="0"/>
        </w:numPr>
        <w:overflowPunct w:val="0"/>
        <w:autoSpaceDE w:val="0"/>
        <w:autoSpaceDN w:val="0"/>
        <w:adjustRightInd w:val="0"/>
        <w:spacing w:after="180"/>
        <w:textAlignment w:val="baseline"/>
        <w:rPr>
          <w:rFonts w:hint="default"/>
          <w:lang w:val="en-US" w:eastAsia="zh-CN"/>
        </w:rPr>
      </w:pPr>
    </w:p>
    <w:p>
      <w:pPr>
        <w:numPr>
          <w:ilvl w:val="0"/>
          <w:numId w:val="0"/>
        </w:numPr>
        <w:overflowPunct w:val="0"/>
        <w:autoSpaceDE w:val="0"/>
        <w:autoSpaceDN w:val="0"/>
        <w:adjustRightInd w:val="0"/>
        <w:spacing w:after="180"/>
        <w:textAlignment w:val="baseline"/>
        <w:rPr>
          <w:rFonts w:hint="default"/>
          <w:lang w:val="en-US" w:eastAsia="zh-CN"/>
        </w:rPr>
      </w:pPr>
    </w:p>
    <w:p>
      <w:pPr>
        <w:numPr>
          <w:ilvl w:val="0"/>
          <w:numId w:val="0"/>
        </w:numPr>
        <w:overflowPunct w:val="0"/>
        <w:autoSpaceDE w:val="0"/>
        <w:autoSpaceDN w:val="0"/>
        <w:adjustRightInd w:val="0"/>
        <w:spacing w:after="180"/>
        <w:textAlignment w:val="baseline"/>
        <w:rPr>
          <w:rFonts w:hint="default"/>
          <w:lang w:val="en-US" w:eastAsia="zh-CN"/>
        </w:rPr>
      </w:pPr>
    </w:p>
    <w:p>
      <w:pPr>
        <w:numPr>
          <w:ilvl w:val="0"/>
          <w:numId w:val="0"/>
        </w:numPr>
        <w:overflowPunct w:val="0"/>
        <w:autoSpaceDE w:val="0"/>
        <w:autoSpaceDN w:val="0"/>
        <w:adjustRightInd w:val="0"/>
        <w:spacing w:after="180"/>
        <w:textAlignment w:val="baseline"/>
        <w:rPr>
          <w:rFonts w:hint="default"/>
          <w:lang w:val="en-US" w:eastAsia="zh-CN"/>
        </w:rPr>
      </w:pPr>
    </w:p>
    <w:p>
      <w:pPr>
        <w:numPr>
          <w:ilvl w:val="0"/>
          <w:numId w:val="0"/>
        </w:numPr>
        <w:overflowPunct w:val="0"/>
        <w:autoSpaceDE w:val="0"/>
        <w:autoSpaceDN w:val="0"/>
        <w:adjustRightInd w:val="0"/>
        <w:spacing w:after="180"/>
        <w:textAlignment w:val="baseline"/>
        <w:rPr>
          <w:rFonts w:hint="default"/>
          <w:lang w:val="en-US" w:eastAsia="zh-CN"/>
        </w:rPr>
      </w:pPr>
    </w:p>
    <w:p>
      <w:pPr>
        <w:numPr>
          <w:ilvl w:val="0"/>
          <w:numId w:val="0"/>
        </w:numPr>
        <w:overflowPunct w:val="0"/>
        <w:autoSpaceDE w:val="0"/>
        <w:autoSpaceDN w:val="0"/>
        <w:adjustRightInd w:val="0"/>
        <w:spacing w:after="180"/>
        <w:textAlignment w:val="baseline"/>
        <w:rPr>
          <w:rFonts w:hint="default"/>
          <w:lang w:val="en-US" w:eastAsia="zh-CN"/>
        </w:rPr>
      </w:pPr>
    </w:p>
    <w:p>
      <w:pPr>
        <w:numPr>
          <w:ilvl w:val="0"/>
          <w:numId w:val="0"/>
        </w:numPr>
        <w:overflowPunct w:val="0"/>
        <w:autoSpaceDE w:val="0"/>
        <w:autoSpaceDN w:val="0"/>
        <w:adjustRightInd w:val="0"/>
        <w:spacing w:after="180"/>
        <w:textAlignment w:val="baseline"/>
        <w:rPr>
          <w:rFonts w:hint="default" w:eastAsia="宋体"/>
          <w:lang w:val="en-US" w:eastAsia="zh-CN"/>
        </w:rPr>
      </w:pPr>
    </w:p>
    <w:p/>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8A8297"/>
    <w:multiLevelType w:val="multilevel"/>
    <w:tmpl w:val="968A8297"/>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96E2CEA0"/>
    <w:multiLevelType w:val="singleLevel"/>
    <w:tmpl w:val="96E2CEA0"/>
    <w:lvl w:ilvl="0" w:tentative="0">
      <w:start w:val="1"/>
      <w:numFmt w:val="bullet"/>
      <w:lvlText w:val="­"/>
      <w:lvlJc w:val="left"/>
      <w:pPr>
        <w:ind w:left="420" w:leftChars="0" w:hanging="420" w:firstLineChars="0"/>
      </w:pPr>
      <w:rPr>
        <w:rFonts w:hint="default" w:ascii="宋体" w:hAnsi="宋体" w:eastAsia="宋体" w:cs="宋体"/>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5CBF"/>
    <w:rsid w:val="000040D1"/>
    <w:rsid w:val="00012CAF"/>
    <w:rsid w:val="00016B19"/>
    <w:rsid w:val="000178B9"/>
    <w:rsid w:val="0002503B"/>
    <w:rsid w:val="00026C30"/>
    <w:rsid w:val="00027666"/>
    <w:rsid w:val="00032FC1"/>
    <w:rsid w:val="00033242"/>
    <w:rsid w:val="00044844"/>
    <w:rsid w:val="0004597E"/>
    <w:rsid w:val="00046AEF"/>
    <w:rsid w:val="00050B3B"/>
    <w:rsid w:val="0005162F"/>
    <w:rsid w:val="00052162"/>
    <w:rsid w:val="0005547C"/>
    <w:rsid w:val="00057570"/>
    <w:rsid w:val="0006096B"/>
    <w:rsid w:val="0007007B"/>
    <w:rsid w:val="00076C0B"/>
    <w:rsid w:val="000770D2"/>
    <w:rsid w:val="000803CD"/>
    <w:rsid w:val="000808C9"/>
    <w:rsid w:val="00081FDE"/>
    <w:rsid w:val="00082AB6"/>
    <w:rsid w:val="0008579E"/>
    <w:rsid w:val="0008734C"/>
    <w:rsid w:val="000917C1"/>
    <w:rsid w:val="00097B86"/>
    <w:rsid w:val="000A585C"/>
    <w:rsid w:val="000A65BE"/>
    <w:rsid w:val="000B1A72"/>
    <w:rsid w:val="000B1F26"/>
    <w:rsid w:val="000B52F5"/>
    <w:rsid w:val="000B5AFD"/>
    <w:rsid w:val="000C014F"/>
    <w:rsid w:val="000C4E37"/>
    <w:rsid w:val="000C5044"/>
    <w:rsid w:val="000D01B2"/>
    <w:rsid w:val="000D2DDD"/>
    <w:rsid w:val="000D382E"/>
    <w:rsid w:val="000D60A4"/>
    <w:rsid w:val="000D71CB"/>
    <w:rsid w:val="000D79FE"/>
    <w:rsid w:val="000E0A05"/>
    <w:rsid w:val="000E260D"/>
    <w:rsid w:val="000E3DE0"/>
    <w:rsid w:val="000E65F3"/>
    <w:rsid w:val="000F1C90"/>
    <w:rsid w:val="000F296C"/>
    <w:rsid w:val="000F5B38"/>
    <w:rsid w:val="0010172A"/>
    <w:rsid w:val="00104151"/>
    <w:rsid w:val="00105F7F"/>
    <w:rsid w:val="00112487"/>
    <w:rsid w:val="001124BF"/>
    <w:rsid w:val="00112547"/>
    <w:rsid w:val="00112828"/>
    <w:rsid w:val="001166E5"/>
    <w:rsid w:val="00116B42"/>
    <w:rsid w:val="00125869"/>
    <w:rsid w:val="00136428"/>
    <w:rsid w:val="00142FCD"/>
    <w:rsid w:val="001478A7"/>
    <w:rsid w:val="00153900"/>
    <w:rsid w:val="00153F82"/>
    <w:rsid w:val="00154695"/>
    <w:rsid w:val="00155066"/>
    <w:rsid w:val="00156032"/>
    <w:rsid w:val="00165AC1"/>
    <w:rsid w:val="00165F4A"/>
    <w:rsid w:val="0017100C"/>
    <w:rsid w:val="00172919"/>
    <w:rsid w:val="0018038D"/>
    <w:rsid w:val="00183621"/>
    <w:rsid w:val="00185CBC"/>
    <w:rsid w:val="00186B26"/>
    <w:rsid w:val="00191741"/>
    <w:rsid w:val="00194C66"/>
    <w:rsid w:val="001953D1"/>
    <w:rsid w:val="001A5EEE"/>
    <w:rsid w:val="001B0982"/>
    <w:rsid w:val="001B1660"/>
    <w:rsid w:val="001B461C"/>
    <w:rsid w:val="001C04FF"/>
    <w:rsid w:val="001C39BB"/>
    <w:rsid w:val="001C6726"/>
    <w:rsid w:val="001D1688"/>
    <w:rsid w:val="001D51FF"/>
    <w:rsid w:val="001D634E"/>
    <w:rsid w:val="001D6833"/>
    <w:rsid w:val="001F3226"/>
    <w:rsid w:val="001F665F"/>
    <w:rsid w:val="001F7F37"/>
    <w:rsid w:val="00207B2A"/>
    <w:rsid w:val="00211D42"/>
    <w:rsid w:val="00211F5D"/>
    <w:rsid w:val="00216010"/>
    <w:rsid w:val="00216B73"/>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6FD4"/>
    <w:rsid w:val="00267172"/>
    <w:rsid w:val="00273232"/>
    <w:rsid w:val="00273D56"/>
    <w:rsid w:val="00284B29"/>
    <w:rsid w:val="00287239"/>
    <w:rsid w:val="002878F2"/>
    <w:rsid w:val="002910C0"/>
    <w:rsid w:val="0029781B"/>
    <w:rsid w:val="002A6978"/>
    <w:rsid w:val="002A6A22"/>
    <w:rsid w:val="002A6C36"/>
    <w:rsid w:val="002B30DC"/>
    <w:rsid w:val="002B3C0B"/>
    <w:rsid w:val="002B66B5"/>
    <w:rsid w:val="002C3678"/>
    <w:rsid w:val="002D1DEF"/>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629B2"/>
    <w:rsid w:val="003705CD"/>
    <w:rsid w:val="003812EE"/>
    <w:rsid w:val="003854B9"/>
    <w:rsid w:val="00385CAA"/>
    <w:rsid w:val="00386194"/>
    <w:rsid w:val="00386962"/>
    <w:rsid w:val="00386AFC"/>
    <w:rsid w:val="00387C21"/>
    <w:rsid w:val="003948C7"/>
    <w:rsid w:val="00395AE1"/>
    <w:rsid w:val="0039683F"/>
    <w:rsid w:val="003A3CE6"/>
    <w:rsid w:val="003A6BE6"/>
    <w:rsid w:val="003B236F"/>
    <w:rsid w:val="003B609D"/>
    <w:rsid w:val="003B612F"/>
    <w:rsid w:val="003C14C7"/>
    <w:rsid w:val="003C7410"/>
    <w:rsid w:val="003D1837"/>
    <w:rsid w:val="003D3A1A"/>
    <w:rsid w:val="003D73FB"/>
    <w:rsid w:val="003D7981"/>
    <w:rsid w:val="003E090C"/>
    <w:rsid w:val="003E468C"/>
    <w:rsid w:val="003F1BFE"/>
    <w:rsid w:val="003F66EB"/>
    <w:rsid w:val="004133D4"/>
    <w:rsid w:val="004172A3"/>
    <w:rsid w:val="0041754D"/>
    <w:rsid w:val="00417A12"/>
    <w:rsid w:val="00423170"/>
    <w:rsid w:val="004331B3"/>
    <w:rsid w:val="00433754"/>
    <w:rsid w:val="00434A3B"/>
    <w:rsid w:val="00434D9A"/>
    <w:rsid w:val="0044190E"/>
    <w:rsid w:val="00444068"/>
    <w:rsid w:val="004532B3"/>
    <w:rsid w:val="0045332A"/>
    <w:rsid w:val="004563B3"/>
    <w:rsid w:val="004617B2"/>
    <w:rsid w:val="00470A49"/>
    <w:rsid w:val="00483CE8"/>
    <w:rsid w:val="00484287"/>
    <w:rsid w:val="00484761"/>
    <w:rsid w:val="00485B26"/>
    <w:rsid w:val="00490210"/>
    <w:rsid w:val="004908D7"/>
    <w:rsid w:val="004931B8"/>
    <w:rsid w:val="004962D7"/>
    <w:rsid w:val="00496F7D"/>
    <w:rsid w:val="00497F70"/>
    <w:rsid w:val="004A0796"/>
    <w:rsid w:val="004B044F"/>
    <w:rsid w:val="004B3167"/>
    <w:rsid w:val="004B3555"/>
    <w:rsid w:val="004B7C0F"/>
    <w:rsid w:val="004C1132"/>
    <w:rsid w:val="004C20AA"/>
    <w:rsid w:val="004C214E"/>
    <w:rsid w:val="004C382E"/>
    <w:rsid w:val="004C4D02"/>
    <w:rsid w:val="004D7B0B"/>
    <w:rsid w:val="004E3252"/>
    <w:rsid w:val="004E327A"/>
    <w:rsid w:val="004E6016"/>
    <w:rsid w:val="004F3556"/>
    <w:rsid w:val="004F52BB"/>
    <w:rsid w:val="0052645D"/>
    <w:rsid w:val="00530E7F"/>
    <w:rsid w:val="00532001"/>
    <w:rsid w:val="00535526"/>
    <w:rsid w:val="00541787"/>
    <w:rsid w:val="00541925"/>
    <w:rsid w:val="00547A52"/>
    <w:rsid w:val="00551668"/>
    <w:rsid w:val="00553BBE"/>
    <w:rsid w:val="00556BEB"/>
    <w:rsid w:val="00565089"/>
    <w:rsid w:val="005651D4"/>
    <w:rsid w:val="005677FF"/>
    <w:rsid w:val="00570264"/>
    <w:rsid w:val="00580A53"/>
    <w:rsid w:val="005837A4"/>
    <w:rsid w:val="00584AE9"/>
    <w:rsid w:val="00586911"/>
    <w:rsid w:val="0059005C"/>
    <w:rsid w:val="00590656"/>
    <w:rsid w:val="005910C8"/>
    <w:rsid w:val="00596140"/>
    <w:rsid w:val="00596817"/>
    <w:rsid w:val="00597E77"/>
    <w:rsid w:val="005A2B0A"/>
    <w:rsid w:val="005A2D78"/>
    <w:rsid w:val="005A4248"/>
    <w:rsid w:val="005B3F0D"/>
    <w:rsid w:val="005B5400"/>
    <w:rsid w:val="005B57CA"/>
    <w:rsid w:val="005C1703"/>
    <w:rsid w:val="005C2065"/>
    <w:rsid w:val="005C763F"/>
    <w:rsid w:val="005D04DD"/>
    <w:rsid w:val="005D48DD"/>
    <w:rsid w:val="005D5E5A"/>
    <w:rsid w:val="005E0894"/>
    <w:rsid w:val="005E2110"/>
    <w:rsid w:val="005E3A56"/>
    <w:rsid w:val="005E6E51"/>
    <w:rsid w:val="005F29C0"/>
    <w:rsid w:val="006037BE"/>
    <w:rsid w:val="006044E7"/>
    <w:rsid w:val="00606A0F"/>
    <w:rsid w:val="00614AD9"/>
    <w:rsid w:val="00615E56"/>
    <w:rsid w:val="00617E63"/>
    <w:rsid w:val="0062116D"/>
    <w:rsid w:val="00623FBE"/>
    <w:rsid w:val="0062719B"/>
    <w:rsid w:val="00632611"/>
    <w:rsid w:val="0063435E"/>
    <w:rsid w:val="00653D48"/>
    <w:rsid w:val="00657D82"/>
    <w:rsid w:val="00661E6E"/>
    <w:rsid w:val="00662BA3"/>
    <w:rsid w:val="006650BB"/>
    <w:rsid w:val="00666C7E"/>
    <w:rsid w:val="00670860"/>
    <w:rsid w:val="0067656C"/>
    <w:rsid w:val="00683133"/>
    <w:rsid w:val="006874AA"/>
    <w:rsid w:val="0069054E"/>
    <w:rsid w:val="00690D88"/>
    <w:rsid w:val="00693902"/>
    <w:rsid w:val="00696034"/>
    <w:rsid w:val="00697729"/>
    <w:rsid w:val="006A11BF"/>
    <w:rsid w:val="006A18FE"/>
    <w:rsid w:val="006A3DAB"/>
    <w:rsid w:val="006A6D8C"/>
    <w:rsid w:val="006B1984"/>
    <w:rsid w:val="006B1C4F"/>
    <w:rsid w:val="006B4188"/>
    <w:rsid w:val="006B5859"/>
    <w:rsid w:val="006C06D1"/>
    <w:rsid w:val="006C2AE3"/>
    <w:rsid w:val="006C42DE"/>
    <w:rsid w:val="006C481F"/>
    <w:rsid w:val="006C63D1"/>
    <w:rsid w:val="006D254F"/>
    <w:rsid w:val="006D397C"/>
    <w:rsid w:val="006D7E7C"/>
    <w:rsid w:val="006E6D89"/>
    <w:rsid w:val="006E7896"/>
    <w:rsid w:val="006E7C40"/>
    <w:rsid w:val="006F1148"/>
    <w:rsid w:val="006F431F"/>
    <w:rsid w:val="00702408"/>
    <w:rsid w:val="007024F8"/>
    <w:rsid w:val="007039E6"/>
    <w:rsid w:val="007163B4"/>
    <w:rsid w:val="00724FE9"/>
    <w:rsid w:val="00725913"/>
    <w:rsid w:val="0072646C"/>
    <w:rsid w:val="00726ECA"/>
    <w:rsid w:val="0072759E"/>
    <w:rsid w:val="00731BF1"/>
    <w:rsid w:val="00731C25"/>
    <w:rsid w:val="0073418D"/>
    <w:rsid w:val="00735364"/>
    <w:rsid w:val="00736D47"/>
    <w:rsid w:val="00737179"/>
    <w:rsid w:val="00741FD8"/>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0EAA"/>
    <w:rsid w:val="00761567"/>
    <w:rsid w:val="00766EAF"/>
    <w:rsid w:val="00770D89"/>
    <w:rsid w:val="0077351E"/>
    <w:rsid w:val="007748AD"/>
    <w:rsid w:val="0078127D"/>
    <w:rsid w:val="00786388"/>
    <w:rsid w:val="00791772"/>
    <w:rsid w:val="0079213C"/>
    <w:rsid w:val="007961BA"/>
    <w:rsid w:val="007A440E"/>
    <w:rsid w:val="007B1635"/>
    <w:rsid w:val="007B56A9"/>
    <w:rsid w:val="007C76E6"/>
    <w:rsid w:val="007D298D"/>
    <w:rsid w:val="007E5F35"/>
    <w:rsid w:val="007E6841"/>
    <w:rsid w:val="007F2534"/>
    <w:rsid w:val="007F67BD"/>
    <w:rsid w:val="007F7861"/>
    <w:rsid w:val="008009D4"/>
    <w:rsid w:val="008021AD"/>
    <w:rsid w:val="00803A96"/>
    <w:rsid w:val="00803DF2"/>
    <w:rsid w:val="008073E0"/>
    <w:rsid w:val="00812DA0"/>
    <w:rsid w:val="00814D46"/>
    <w:rsid w:val="008249B1"/>
    <w:rsid w:val="008319D1"/>
    <w:rsid w:val="00831BBD"/>
    <w:rsid w:val="00834674"/>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31DD"/>
    <w:rsid w:val="008A64B8"/>
    <w:rsid w:val="008B0126"/>
    <w:rsid w:val="008B04AF"/>
    <w:rsid w:val="008B0538"/>
    <w:rsid w:val="008B1A9F"/>
    <w:rsid w:val="008B2BA0"/>
    <w:rsid w:val="008B33C1"/>
    <w:rsid w:val="008B75BF"/>
    <w:rsid w:val="008C35A9"/>
    <w:rsid w:val="008C3910"/>
    <w:rsid w:val="008C4C1F"/>
    <w:rsid w:val="008C5119"/>
    <w:rsid w:val="008C541C"/>
    <w:rsid w:val="008C5D9A"/>
    <w:rsid w:val="008C5F8F"/>
    <w:rsid w:val="008C7FD6"/>
    <w:rsid w:val="008D2F6B"/>
    <w:rsid w:val="008D37FF"/>
    <w:rsid w:val="008D65DA"/>
    <w:rsid w:val="008D6C64"/>
    <w:rsid w:val="008D701F"/>
    <w:rsid w:val="008E16EC"/>
    <w:rsid w:val="008E19AC"/>
    <w:rsid w:val="008E6E55"/>
    <w:rsid w:val="008F1E4D"/>
    <w:rsid w:val="008F457C"/>
    <w:rsid w:val="008F504A"/>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6AE"/>
    <w:rsid w:val="00954D13"/>
    <w:rsid w:val="00960962"/>
    <w:rsid w:val="00962644"/>
    <w:rsid w:val="00963B44"/>
    <w:rsid w:val="009648F2"/>
    <w:rsid w:val="00965C73"/>
    <w:rsid w:val="00971E6F"/>
    <w:rsid w:val="00973D2E"/>
    <w:rsid w:val="0097498F"/>
    <w:rsid w:val="0098623F"/>
    <w:rsid w:val="009910B4"/>
    <w:rsid w:val="009958A7"/>
    <w:rsid w:val="009A1645"/>
    <w:rsid w:val="009B33E1"/>
    <w:rsid w:val="009B376A"/>
    <w:rsid w:val="009B7E79"/>
    <w:rsid w:val="009C0776"/>
    <w:rsid w:val="009C1823"/>
    <w:rsid w:val="009C1E60"/>
    <w:rsid w:val="009C50C0"/>
    <w:rsid w:val="009C550B"/>
    <w:rsid w:val="009C60C3"/>
    <w:rsid w:val="009D1F41"/>
    <w:rsid w:val="009D1F94"/>
    <w:rsid w:val="009D2D82"/>
    <w:rsid w:val="009D585E"/>
    <w:rsid w:val="009E0784"/>
    <w:rsid w:val="009E274E"/>
    <w:rsid w:val="009E41D1"/>
    <w:rsid w:val="009E6D7B"/>
    <w:rsid w:val="009F7B78"/>
    <w:rsid w:val="00A11E8F"/>
    <w:rsid w:val="00A12566"/>
    <w:rsid w:val="00A12EAB"/>
    <w:rsid w:val="00A1658F"/>
    <w:rsid w:val="00A17457"/>
    <w:rsid w:val="00A25D9F"/>
    <w:rsid w:val="00A27EFC"/>
    <w:rsid w:val="00A36F97"/>
    <w:rsid w:val="00A41B55"/>
    <w:rsid w:val="00A45CBF"/>
    <w:rsid w:val="00A473BD"/>
    <w:rsid w:val="00A521F3"/>
    <w:rsid w:val="00A52F9E"/>
    <w:rsid w:val="00A6003E"/>
    <w:rsid w:val="00A65D23"/>
    <w:rsid w:val="00A65F1C"/>
    <w:rsid w:val="00A71F0F"/>
    <w:rsid w:val="00A757A4"/>
    <w:rsid w:val="00A801CC"/>
    <w:rsid w:val="00A82DDD"/>
    <w:rsid w:val="00A868BB"/>
    <w:rsid w:val="00A93A44"/>
    <w:rsid w:val="00A97773"/>
    <w:rsid w:val="00AA0C0A"/>
    <w:rsid w:val="00AA5529"/>
    <w:rsid w:val="00AA7011"/>
    <w:rsid w:val="00AA75BA"/>
    <w:rsid w:val="00AC0DF5"/>
    <w:rsid w:val="00AC415E"/>
    <w:rsid w:val="00AC4BDB"/>
    <w:rsid w:val="00AC6AC4"/>
    <w:rsid w:val="00AD0317"/>
    <w:rsid w:val="00AE04BB"/>
    <w:rsid w:val="00AE2FD4"/>
    <w:rsid w:val="00AF5B15"/>
    <w:rsid w:val="00B004F3"/>
    <w:rsid w:val="00B03D32"/>
    <w:rsid w:val="00B04972"/>
    <w:rsid w:val="00B04FAD"/>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4326"/>
    <w:rsid w:val="00B720C9"/>
    <w:rsid w:val="00B8046D"/>
    <w:rsid w:val="00B85387"/>
    <w:rsid w:val="00B9451F"/>
    <w:rsid w:val="00BA1C79"/>
    <w:rsid w:val="00BA4154"/>
    <w:rsid w:val="00BB0020"/>
    <w:rsid w:val="00BB5E06"/>
    <w:rsid w:val="00BB7F21"/>
    <w:rsid w:val="00BC07E5"/>
    <w:rsid w:val="00BC2888"/>
    <w:rsid w:val="00BC2F27"/>
    <w:rsid w:val="00BC38BC"/>
    <w:rsid w:val="00BC4052"/>
    <w:rsid w:val="00BC4BC8"/>
    <w:rsid w:val="00BC5097"/>
    <w:rsid w:val="00BD2818"/>
    <w:rsid w:val="00BD703E"/>
    <w:rsid w:val="00BE2493"/>
    <w:rsid w:val="00BE314A"/>
    <w:rsid w:val="00BF1AE9"/>
    <w:rsid w:val="00BF423D"/>
    <w:rsid w:val="00BF625B"/>
    <w:rsid w:val="00C03DF7"/>
    <w:rsid w:val="00C21E57"/>
    <w:rsid w:val="00C22622"/>
    <w:rsid w:val="00C2305B"/>
    <w:rsid w:val="00C30F9B"/>
    <w:rsid w:val="00C60866"/>
    <w:rsid w:val="00C62347"/>
    <w:rsid w:val="00C6699B"/>
    <w:rsid w:val="00C71989"/>
    <w:rsid w:val="00C75A90"/>
    <w:rsid w:val="00C75C8E"/>
    <w:rsid w:val="00C76D6B"/>
    <w:rsid w:val="00C770CB"/>
    <w:rsid w:val="00C772E0"/>
    <w:rsid w:val="00C80D20"/>
    <w:rsid w:val="00C82058"/>
    <w:rsid w:val="00C82B9E"/>
    <w:rsid w:val="00C82D19"/>
    <w:rsid w:val="00C84A3E"/>
    <w:rsid w:val="00C85F8E"/>
    <w:rsid w:val="00C90C99"/>
    <w:rsid w:val="00C90DC4"/>
    <w:rsid w:val="00C953CC"/>
    <w:rsid w:val="00CA1C7D"/>
    <w:rsid w:val="00CA58CA"/>
    <w:rsid w:val="00CB1AF9"/>
    <w:rsid w:val="00CB4F6E"/>
    <w:rsid w:val="00CB629B"/>
    <w:rsid w:val="00CC2721"/>
    <w:rsid w:val="00CD2C95"/>
    <w:rsid w:val="00CE0337"/>
    <w:rsid w:val="00CE1533"/>
    <w:rsid w:val="00CE1842"/>
    <w:rsid w:val="00CE25A6"/>
    <w:rsid w:val="00CE2CF6"/>
    <w:rsid w:val="00CE772F"/>
    <w:rsid w:val="00CE79F1"/>
    <w:rsid w:val="00CF0AAE"/>
    <w:rsid w:val="00CF669F"/>
    <w:rsid w:val="00D00DC7"/>
    <w:rsid w:val="00D02624"/>
    <w:rsid w:val="00D038CC"/>
    <w:rsid w:val="00D11EE6"/>
    <w:rsid w:val="00D13400"/>
    <w:rsid w:val="00D1484A"/>
    <w:rsid w:val="00D15099"/>
    <w:rsid w:val="00D1520B"/>
    <w:rsid w:val="00D216A2"/>
    <w:rsid w:val="00D33B64"/>
    <w:rsid w:val="00D42185"/>
    <w:rsid w:val="00D454D1"/>
    <w:rsid w:val="00D50796"/>
    <w:rsid w:val="00D508A3"/>
    <w:rsid w:val="00D52845"/>
    <w:rsid w:val="00D62CEF"/>
    <w:rsid w:val="00D652AB"/>
    <w:rsid w:val="00D65822"/>
    <w:rsid w:val="00D70393"/>
    <w:rsid w:val="00D76052"/>
    <w:rsid w:val="00D81C38"/>
    <w:rsid w:val="00D838C4"/>
    <w:rsid w:val="00D84DF5"/>
    <w:rsid w:val="00D853E5"/>
    <w:rsid w:val="00D8736A"/>
    <w:rsid w:val="00D90711"/>
    <w:rsid w:val="00D95A27"/>
    <w:rsid w:val="00D96631"/>
    <w:rsid w:val="00DA079A"/>
    <w:rsid w:val="00DA2D12"/>
    <w:rsid w:val="00DA3E13"/>
    <w:rsid w:val="00DA6EE6"/>
    <w:rsid w:val="00DB4029"/>
    <w:rsid w:val="00DC0FDF"/>
    <w:rsid w:val="00DC1D13"/>
    <w:rsid w:val="00DC3BF8"/>
    <w:rsid w:val="00DC7083"/>
    <w:rsid w:val="00DD0E74"/>
    <w:rsid w:val="00DD2171"/>
    <w:rsid w:val="00DD7392"/>
    <w:rsid w:val="00DE63F5"/>
    <w:rsid w:val="00DF1E25"/>
    <w:rsid w:val="00DF239C"/>
    <w:rsid w:val="00DF26F8"/>
    <w:rsid w:val="00DF3CC0"/>
    <w:rsid w:val="00DF5361"/>
    <w:rsid w:val="00DF652C"/>
    <w:rsid w:val="00E04DFC"/>
    <w:rsid w:val="00E055CD"/>
    <w:rsid w:val="00E13F6A"/>
    <w:rsid w:val="00E165D9"/>
    <w:rsid w:val="00E17295"/>
    <w:rsid w:val="00E2078D"/>
    <w:rsid w:val="00E2311B"/>
    <w:rsid w:val="00E3014F"/>
    <w:rsid w:val="00E3765C"/>
    <w:rsid w:val="00E40B50"/>
    <w:rsid w:val="00E50082"/>
    <w:rsid w:val="00E8003C"/>
    <w:rsid w:val="00E81637"/>
    <w:rsid w:val="00E825FC"/>
    <w:rsid w:val="00E83B53"/>
    <w:rsid w:val="00E87CFF"/>
    <w:rsid w:val="00E927D6"/>
    <w:rsid w:val="00E95F32"/>
    <w:rsid w:val="00E97521"/>
    <w:rsid w:val="00EA06DA"/>
    <w:rsid w:val="00EA3D1D"/>
    <w:rsid w:val="00EA64C3"/>
    <w:rsid w:val="00EB08A8"/>
    <w:rsid w:val="00EB665A"/>
    <w:rsid w:val="00EC4F36"/>
    <w:rsid w:val="00EC559E"/>
    <w:rsid w:val="00EC5B71"/>
    <w:rsid w:val="00EC7374"/>
    <w:rsid w:val="00ED534C"/>
    <w:rsid w:val="00ED6A03"/>
    <w:rsid w:val="00EE0B17"/>
    <w:rsid w:val="00EE24A1"/>
    <w:rsid w:val="00EE49C5"/>
    <w:rsid w:val="00EE55BB"/>
    <w:rsid w:val="00EE632C"/>
    <w:rsid w:val="00EE7AD2"/>
    <w:rsid w:val="00EF096F"/>
    <w:rsid w:val="00EF1A03"/>
    <w:rsid w:val="00EF2F15"/>
    <w:rsid w:val="00EF50BD"/>
    <w:rsid w:val="00F00A09"/>
    <w:rsid w:val="00F01742"/>
    <w:rsid w:val="00F03A62"/>
    <w:rsid w:val="00F06C88"/>
    <w:rsid w:val="00F07C39"/>
    <w:rsid w:val="00F10525"/>
    <w:rsid w:val="00F109E9"/>
    <w:rsid w:val="00F11E19"/>
    <w:rsid w:val="00F22F57"/>
    <w:rsid w:val="00F2655C"/>
    <w:rsid w:val="00F26DAE"/>
    <w:rsid w:val="00F27221"/>
    <w:rsid w:val="00F35AF7"/>
    <w:rsid w:val="00F42973"/>
    <w:rsid w:val="00F43191"/>
    <w:rsid w:val="00F4584A"/>
    <w:rsid w:val="00F46362"/>
    <w:rsid w:val="00F4676B"/>
    <w:rsid w:val="00F46E57"/>
    <w:rsid w:val="00F52AD1"/>
    <w:rsid w:val="00F5483F"/>
    <w:rsid w:val="00F55128"/>
    <w:rsid w:val="00F613B4"/>
    <w:rsid w:val="00F71E5A"/>
    <w:rsid w:val="00F72623"/>
    <w:rsid w:val="00F726CE"/>
    <w:rsid w:val="00F73828"/>
    <w:rsid w:val="00F76C95"/>
    <w:rsid w:val="00F7786A"/>
    <w:rsid w:val="00F77AE6"/>
    <w:rsid w:val="00F801A7"/>
    <w:rsid w:val="00F80B6C"/>
    <w:rsid w:val="00F86F62"/>
    <w:rsid w:val="00F90BA4"/>
    <w:rsid w:val="00FA5284"/>
    <w:rsid w:val="00FB4B22"/>
    <w:rsid w:val="00FB4F1F"/>
    <w:rsid w:val="00FC120C"/>
    <w:rsid w:val="00FC205B"/>
    <w:rsid w:val="00FC2825"/>
    <w:rsid w:val="00FC451B"/>
    <w:rsid w:val="00FC4E5F"/>
    <w:rsid w:val="00FD04E8"/>
    <w:rsid w:val="00FD0686"/>
    <w:rsid w:val="00FD1786"/>
    <w:rsid w:val="00FD18E3"/>
    <w:rsid w:val="00FD20D2"/>
    <w:rsid w:val="00FD40CB"/>
    <w:rsid w:val="00FD5D3A"/>
    <w:rsid w:val="00FE0852"/>
    <w:rsid w:val="00FE2D67"/>
    <w:rsid w:val="00FE3AF1"/>
    <w:rsid w:val="00FE68DA"/>
    <w:rsid w:val="00FF51FF"/>
    <w:rsid w:val="00FF56D2"/>
    <w:rsid w:val="00FF757B"/>
    <w:rsid w:val="02094746"/>
    <w:rsid w:val="02B23DA6"/>
    <w:rsid w:val="035A175B"/>
    <w:rsid w:val="05D03741"/>
    <w:rsid w:val="05E6462D"/>
    <w:rsid w:val="06304C93"/>
    <w:rsid w:val="0B211F5C"/>
    <w:rsid w:val="0D3C321E"/>
    <w:rsid w:val="0D8555D8"/>
    <w:rsid w:val="0E78050A"/>
    <w:rsid w:val="0F6539DE"/>
    <w:rsid w:val="0FBB7601"/>
    <w:rsid w:val="1026713C"/>
    <w:rsid w:val="116C6192"/>
    <w:rsid w:val="120E1B2B"/>
    <w:rsid w:val="130A6ADE"/>
    <w:rsid w:val="172F1303"/>
    <w:rsid w:val="18EA3228"/>
    <w:rsid w:val="1B9A34A7"/>
    <w:rsid w:val="1D4666F2"/>
    <w:rsid w:val="21272C5A"/>
    <w:rsid w:val="25115838"/>
    <w:rsid w:val="28A73699"/>
    <w:rsid w:val="28DF4D38"/>
    <w:rsid w:val="29BD1EFE"/>
    <w:rsid w:val="2BCE69CF"/>
    <w:rsid w:val="2EE03E0D"/>
    <w:rsid w:val="30F133AD"/>
    <w:rsid w:val="329830F5"/>
    <w:rsid w:val="398937B2"/>
    <w:rsid w:val="3A3754C5"/>
    <w:rsid w:val="3A835576"/>
    <w:rsid w:val="3E5666FD"/>
    <w:rsid w:val="3F657D50"/>
    <w:rsid w:val="3FB73DDC"/>
    <w:rsid w:val="40AD6BAC"/>
    <w:rsid w:val="415F22D1"/>
    <w:rsid w:val="417340EF"/>
    <w:rsid w:val="42AF4693"/>
    <w:rsid w:val="44131890"/>
    <w:rsid w:val="49994A75"/>
    <w:rsid w:val="4AA71688"/>
    <w:rsid w:val="4AF45555"/>
    <w:rsid w:val="4AFE540C"/>
    <w:rsid w:val="4BB45865"/>
    <w:rsid w:val="4F1B74C9"/>
    <w:rsid w:val="50CE0174"/>
    <w:rsid w:val="567D3FD1"/>
    <w:rsid w:val="5C4821F4"/>
    <w:rsid w:val="5EDC24CB"/>
    <w:rsid w:val="5F490632"/>
    <w:rsid w:val="62472E4C"/>
    <w:rsid w:val="63026180"/>
    <w:rsid w:val="65251988"/>
    <w:rsid w:val="680627DB"/>
    <w:rsid w:val="6CE45189"/>
    <w:rsid w:val="6F2B4983"/>
    <w:rsid w:val="705C2C96"/>
    <w:rsid w:val="710910B8"/>
    <w:rsid w:val="75D1773F"/>
    <w:rsid w:val="783F7333"/>
    <w:rsid w:val="7CD75644"/>
    <w:rsid w:val="7D9103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4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4"/>
    <w:qFormat/>
    <w:uiPriority w:val="0"/>
    <w:pPr>
      <w:pBdr>
        <w:top w:val="none" w:color="auto" w:sz="0" w:space="0"/>
      </w:pBdr>
      <w:spacing w:before="180"/>
      <w:outlineLvl w:val="1"/>
    </w:pPr>
    <w:rPr>
      <w:sz w:val="32"/>
    </w:rPr>
  </w:style>
  <w:style w:type="paragraph" w:styleId="4">
    <w:name w:val="heading 3"/>
    <w:basedOn w:val="3"/>
    <w:next w:val="1"/>
    <w:link w:val="45"/>
    <w:qFormat/>
    <w:uiPriority w:val="0"/>
    <w:pPr>
      <w:spacing w:before="120"/>
      <w:outlineLvl w:val="2"/>
    </w:pPr>
    <w:rPr>
      <w:sz w:val="28"/>
    </w:rPr>
  </w:style>
  <w:style w:type="paragraph" w:styleId="5">
    <w:name w:val="heading 4"/>
    <w:basedOn w:val="4"/>
    <w:next w:val="1"/>
    <w:link w:val="46"/>
    <w:qFormat/>
    <w:uiPriority w:val="0"/>
    <w:pPr>
      <w:ind w:left="1418" w:hanging="1418"/>
      <w:outlineLvl w:val="3"/>
    </w:pPr>
    <w:rPr>
      <w:sz w:val="24"/>
    </w:rPr>
  </w:style>
  <w:style w:type="paragraph" w:styleId="6">
    <w:name w:val="heading 5"/>
    <w:basedOn w:val="5"/>
    <w:next w:val="1"/>
    <w:link w:val="47"/>
    <w:qFormat/>
    <w:uiPriority w:val="0"/>
    <w:pPr>
      <w:ind w:left="1701" w:hanging="1701"/>
      <w:outlineLvl w:val="4"/>
    </w:pPr>
    <w:rPr>
      <w:sz w:val="22"/>
    </w:rPr>
  </w:style>
  <w:style w:type="paragraph" w:styleId="7">
    <w:name w:val="heading 6"/>
    <w:basedOn w:val="8"/>
    <w:next w:val="1"/>
    <w:link w:val="48"/>
    <w:qFormat/>
    <w:uiPriority w:val="0"/>
    <w:pPr>
      <w:outlineLvl w:val="5"/>
    </w:pPr>
  </w:style>
  <w:style w:type="paragraph" w:styleId="9">
    <w:name w:val="heading 7"/>
    <w:basedOn w:val="8"/>
    <w:next w:val="1"/>
    <w:link w:val="49"/>
    <w:qFormat/>
    <w:uiPriority w:val="0"/>
    <w:pPr>
      <w:outlineLvl w:val="6"/>
    </w:pPr>
  </w:style>
  <w:style w:type="paragraph" w:styleId="10">
    <w:name w:val="heading 8"/>
    <w:basedOn w:val="2"/>
    <w:next w:val="1"/>
    <w:link w:val="50"/>
    <w:qFormat/>
    <w:uiPriority w:val="0"/>
    <w:pPr>
      <w:ind w:left="0" w:firstLine="0"/>
      <w:outlineLvl w:val="7"/>
    </w:pPr>
  </w:style>
  <w:style w:type="paragraph" w:styleId="11">
    <w:name w:val="heading 9"/>
    <w:basedOn w:val="10"/>
    <w:next w:val="1"/>
    <w:link w:val="51"/>
    <w:qFormat/>
    <w:uiPriority w:val="0"/>
    <w:pPr>
      <w:outlineLvl w:val="8"/>
    </w:pPr>
  </w:style>
  <w:style w:type="character" w:default="1" w:styleId="40">
    <w:name w:val="Default Paragraph Font"/>
    <w:semiHidden/>
    <w:qFormat/>
    <w:uiPriority w:val="0"/>
  </w:style>
  <w:style w:type="table" w:default="1" w:styleId="3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List Bullet 5"/>
    <w:basedOn w:val="24"/>
    <w:qFormat/>
    <w:uiPriority w:val="0"/>
    <w:pPr>
      <w:ind w:left="1702"/>
    </w:pPr>
  </w:style>
  <w:style w:type="paragraph" w:styleId="29">
    <w:name w:val="toc 8"/>
    <w:basedOn w:val="21"/>
    <w:qFormat/>
    <w:uiPriority w:val="0"/>
    <w:pPr>
      <w:spacing w:before="180"/>
      <w:ind w:left="2693" w:hanging="2693"/>
    </w:pPr>
    <w:rPr>
      <w:b/>
    </w:rPr>
  </w:style>
  <w:style w:type="paragraph" w:styleId="30">
    <w:name w:val="footer"/>
    <w:basedOn w:val="31"/>
    <w:link w:val="86"/>
    <w:qFormat/>
    <w:uiPriority w:val="0"/>
    <w:pPr>
      <w:jc w:val="center"/>
    </w:pPr>
    <w:rPr>
      <w:i/>
    </w:rPr>
  </w:style>
  <w:style w:type="paragraph" w:styleId="31">
    <w:name w:val="header"/>
    <w:link w:val="5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2">
    <w:name w:val="footnote text"/>
    <w:basedOn w:val="1"/>
    <w:link w:val="56"/>
    <w:qFormat/>
    <w:uiPriority w:val="0"/>
    <w:pPr>
      <w:keepLines/>
      <w:spacing w:after="0"/>
      <w:ind w:left="454" w:hanging="454"/>
    </w:pPr>
    <w:rPr>
      <w:sz w:val="16"/>
    </w:rPr>
  </w:style>
  <w:style w:type="paragraph" w:styleId="33">
    <w:name w:val="List 5"/>
    <w:basedOn w:val="34"/>
    <w:qFormat/>
    <w:uiPriority w:val="0"/>
    <w:pPr>
      <w:ind w:left="1702"/>
    </w:pPr>
  </w:style>
  <w:style w:type="paragraph" w:styleId="34">
    <w:name w:val="List 4"/>
    <w:basedOn w:val="12"/>
    <w:qFormat/>
    <w:uiPriority w:val="0"/>
    <w:pPr>
      <w:ind w:left="1418"/>
    </w:pPr>
  </w:style>
  <w:style w:type="paragraph" w:styleId="35">
    <w:name w:val="toc 9"/>
    <w:basedOn w:val="29"/>
    <w:qFormat/>
    <w:uiPriority w:val="0"/>
    <w:pPr>
      <w:ind w:left="1418" w:hanging="1418"/>
    </w:pPr>
  </w:style>
  <w:style w:type="paragraph" w:styleId="36">
    <w:name w:val="index 1"/>
    <w:basedOn w:val="1"/>
    <w:qFormat/>
    <w:uiPriority w:val="0"/>
    <w:pPr>
      <w:keepLines/>
      <w:spacing w:after="0"/>
    </w:pPr>
  </w:style>
  <w:style w:type="paragraph" w:styleId="37">
    <w:name w:val="index 2"/>
    <w:basedOn w:val="36"/>
    <w:qFormat/>
    <w:uiPriority w:val="0"/>
    <w:pPr>
      <w:ind w:left="284"/>
    </w:pPr>
  </w:style>
  <w:style w:type="table" w:styleId="39">
    <w:name w:val="Table Grid"/>
    <w:basedOn w:val="3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footnote reference"/>
    <w:qFormat/>
    <w:uiPriority w:val="0"/>
    <w:rPr>
      <w:b/>
      <w:position w:val="6"/>
      <w:sz w:val="16"/>
    </w:rPr>
  </w:style>
  <w:style w:type="paragraph" w:customStyle="1" w:styleId="42">
    <w:name w:val="_Style 12"/>
    <w:basedOn w:val="1"/>
    <w:semiHidden/>
    <w:qFormat/>
    <w:uiPriority w:val="0"/>
    <w:pPr>
      <w:spacing w:after="160" w:line="240" w:lineRule="exact"/>
    </w:pPr>
    <w:rPr>
      <w:rFonts w:ascii="Arial" w:hAnsi="Arial" w:eastAsia="宋体"/>
      <w:szCs w:val="22"/>
      <w:lang w:val="en-US" w:eastAsia="en-US"/>
    </w:rPr>
  </w:style>
  <w:style w:type="character" w:customStyle="1" w:styleId="43">
    <w:name w:val="Heading 1 Char"/>
    <w:link w:val="2"/>
    <w:qFormat/>
    <w:uiPriority w:val="0"/>
    <w:rPr>
      <w:rFonts w:ascii="Arial" w:hAnsi="Arial" w:eastAsia="Times New Roman"/>
      <w:sz w:val="36"/>
    </w:rPr>
  </w:style>
  <w:style w:type="character" w:customStyle="1" w:styleId="44">
    <w:name w:val="Heading 2 Char"/>
    <w:link w:val="3"/>
    <w:qFormat/>
    <w:uiPriority w:val="0"/>
    <w:rPr>
      <w:rFonts w:ascii="Arial" w:hAnsi="Arial" w:eastAsia="Times New Roman"/>
      <w:sz w:val="32"/>
    </w:rPr>
  </w:style>
  <w:style w:type="character" w:customStyle="1" w:styleId="45">
    <w:name w:val="Heading 3 Char"/>
    <w:link w:val="4"/>
    <w:qFormat/>
    <w:uiPriority w:val="0"/>
    <w:rPr>
      <w:rFonts w:ascii="Arial" w:hAnsi="Arial" w:eastAsia="Times New Roman"/>
      <w:sz w:val="28"/>
    </w:rPr>
  </w:style>
  <w:style w:type="character" w:customStyle="1" w:styleId="46">
    <w:name w:val="Heading 4 Char"/>
    <w:link w:val="5"/>
    <w:qFormat/>
    <w:uiPriority w:val="0"/>
    <w:rPr>
      <w:rFonts w:ascii="Arial" w:hAnsi="Arial" w:eastAsia="Times New Roman"/>
      <w:sz w:val="24"/>
    </w:rPr>
  </w:style>
  <w:style w:type="character" w:customStyle="1" w:styleId="47">
    <w:name w:val="Heading 5 Char"/>
    <w:link w:val="6"/>
    <w:qFormat/>
    <w:uiPriority w:val="0"/>
    <w:rPr>
      <w:rFonts w:ascii="Arial" w:hAnsi="Arial" w:eastAsia="Times New Roman"/>
      <w:sz w:val="22"/>
    </w:rPr>
  </w:style>
  <w:style w:type="character" w:customStyle="1" w:styleId="48">
    <w:name w:val="Heading 6 Char"/>
    <w:link w:val="7"/>
    <w:qFormat/>
    <w:uiPriority w:val="0"/>
    <w:rPr>
      <w:rFonts w:ascii="Arial" w:hAnsi="Arial" w:eastAsia="Times New Roman"/>
    </w:rPr>
  </w:style>
  <w:style w:type="character" w:customStyle="1" w:styleId="49">
    <w:name w:val="Heading 7 Char"/>
    <w:link w:val="9"/>
    <w:qFormat/>
    <w:uiPriority w:val="0"/>
    <w:rPr>
      <w:rFonts w:ascii="Arial" w:hAnsi="Arial" w:eastAsia="Times New Roman"/>
    </w:rPr>
  </w:style>
  <w:style w:type="character" w:customStyle="1" w:styleId="50">
    <w:name w:val="Heading 8 Char"/>
    <w:link w:val="10"/>
    <w:qFormat/>
    <w:uiPriority w:val="0"/>
    <w:rPr>
      <w:rFonts w:ascii="Arial" w:hAnsi="Arial" w:eastAsia="Times New Roman"/>
      <w:sz w:val="36"/>
    </w:rPr>
  </w:style>
  <w:style w:type="character" w:customStyle="1" w:styleId="51">
    <w:name w:val="Heading 9 Char"/>
    <w:link w:val="11"/>
    <w:qFormat/>
    <w:uiPriority w:val="0"/>
    <w:rPr>
      <w:rFonts w:ascii="Arial" w:hAnsi="Arial" w:eastAsia="Times New Roman"/>
      <w:sz w:val="36"/>
    </w:rPr>
  </w:style>
  <w:style w:type="paragraph" w:customStyle="1" w:styleId="5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4">
    <w:name w:val="TT"/>
    <w:basedOn w:val="2"/>
    <w:next w:val="1"/>
    <w:qFormat/>
    <w:uiPriority w:val="0"/>
    <w:pPr>
      <w:outlineLvl w:val="9"/>
    </w:pPr>
  </w:style>
  <w:style w:type="character" w:customStyle="1" w:styleId="55">
    <w:name w:val="Header Char"/>
    <w:link w:val="31"/>
    <w:qFormat/>
    <w:uiPriority w:val="0"/>
    <w:rPr>
      <w:rFonts w:ascii="Arial" w:hAnsi="Arial" w:eastAsia="Times New Roman"/>
      <w:b/>
      <w:sz w:val="18"/>
    </w:rPr>
  </w:style>
  <w:style w:type="character" w:customStyle="1" w:styleId="56">
    <w:name w:val="Footnote Text Char"/>
    <w:link w:val="32"/>
    <w:qFormat/>
    <w:uiPriority w:val="0"/>
    <w:rPr>
      <w:rFonts w:eastAsia="Times New Roman"/>
      <w:sz w:val="16"/>
    </w:rPr>
  </w:style>
  <w:style w:type="paragraph" w:customStyle="1" w:styleId="57">
    <w:name w:val="TAH"/>
    <w:basedOn w:val="58"/>
    <w:qFormat/>
    <w:uiPriority w:val="0"/>
    <w:rPr>
      <w:b/>
    </w:rPr>
  </w:style>
  <w:style w:type="paragraph" w:customStyle="1" w:styleId="58">
    <w:name w:val="TAC"/>
    <w:basedOn w:val="59"/>
    <w:qFormat/>
    <w:uiPriority w:val="0"/>
    <w:pPr>
      <w:jc w:val="center"/>
    </w:pPr>
  </w:style>
  <w:style w:type="paragraph" w:customStyle="1" w:styleId="59">
    <w:name w:val="TAL"/>
    <w:basedOn w:val="1"/>
    <w:qFormat/>
    <w:uiPriority w:val="0"/>
    <w:pPr>
      <w:keepNext/>
      <w:keepLines/>
      <w:spacing w:after="0"/>
    </w:pPr>
    <w:rPr>
      <w:rFonts w:ascii="Arial" w:hAnsi="Arial"/>
      <w:sz w:val="18"/>
    </w:rPr>
  </w:style>
  <w:style w:type="paragraph" w:customStyle="1" w:styleId="60">
    <w:name w:val="TF"/>
    <w:basedOn w:val="61"/>
    <w:qFormat/>
    <w:uiPriority w:val="0"/>
    <w:pPr>
      <w:keepNext w:val="0"/>
      <w:spacing w:before="0" w:after="240"/>
    </w:p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NO"/>
    <w:basedOn w:val="1"/>
    <w:qFormat/>
    <w:uiPriority w:val="0"/>
    <w:pPr>
      <w:keepLines/>
      <w:ind w:left="1135" w:hanging="851"/>
    </w:p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1">
    <w:name w:val="TAR"/>
    <w:basedOn w:val="59"/>
    <w:qFormat/>
    <w:uiPriority w:val="0"/>
    <w:pPr>
      <w:jc w:val="right"/>
    </w:pPr>
  </w:style>
  <w:style w:type="paragraph" w:customStyle="1" w:styleId="72">
    <w:name w:val="TAN"/>
    <w:basedOn w:val="59"/>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0">
    <w:name w:val="Editor's Note"/>
    <w:basedOn w:val="62"/>
    <w:qFormat/>
    <w:uiPriority w:val="0"/>
    <w:rPr>
      <w:color w:val="FF0000"/>
    </w:rPr>
  </w:style>
  <w:style w:type="paragraph" w:customStyle="1" w:styleId="81">
    <w:name w:val="B1"/>
    <w:basedOn w:val="14"/>
    <w:qFormat/>
    <w:uiPriority w:val="0"/>
  </w:style>
  <w:style w:type="paragraph" w:customStyle="1" w:styleId="82">
    <w:name w:val="B2"/>
    <w:basedOn w:val="13"/>
    <w:qFormat/>
    <w:uiPriority w:val="0"/>
  </w:style>
  <w:style w:type="paragraph" w:customStyle="1" w:styleId="83">
    <w:name w:val="B3"/>
    <w:basedOn w:val="12"/>
    <w:qFormat/>
    <w:uiPriority w:val="0"/>
  </w:style>
  <w:style w:type="paragraph" w:customStyle="1" w:styleId="84">
    <w:name w:val="B4"/>
    <w:basedOn w:val="34"/>
    <w:qFormat/>
    <w:uiPriority w:val="0"/>
  </w:style>
  <w:style w:type="paragraph" w:customStyle="1" w:styleId="85">
    <w:name w:val="B5"/>
    <w:basedOn w:val="33"/>
    <w:qFormat/>
    <w:uiPriority w:val="0"/>
  </w:style>
  <w:style w:type="character" w:customStyle="1" w:styleId="86">
    <w:name w:val="Footer Char"/>
    <w:link w:val="30"/>
    <w:qFormat/>
    <w:uiPriority w:val="0"/>
    <w:rPr>
      <w:rFonts w:ascii="Arial" w:hAnsi="Arial" w:eastAsia="Times New Roman"/>
      <w:b/>
      <w:i/>
      <w:sz w:val="18"/>
    </w:rPr>
  </w:style>
  <w:style w:type="paragraph" w:customStyle="1" w:styleId="87">
    <w:name w:val="ZTD"/>
    <w:basedOn w:val="74"/>
    <w:qFormat/>
    <w:uiPriority w:val="0"/>
    <w:pPr>
      <w:framePr w:hRule="auto" w:y="852"/>
    </w:pPr>
    <w:rPr>
      <w:i w:val="0"/>
      <w:sz w:val="40"/>
    </w:rPr>
  </w:style>
  <w:style w:type="paragraph" w:customStyle="1" w:styleId="88">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Secretariat</Company>
  <Pages>4</Pages>
  <Words>43</Words>
  <Characters>249</Characters>
  <Lines>2</Lines>
  <Paragraphs>1</Paragraphs>
  <TotalTime>3</TotalTime>
  <ScaleCrop>false</ScaleCrop>
  <LinksUpToDate>false</LinksUpToDate>
  <CharactersWithSpaces>291</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2023-05-09T09:19:00Z</dcterms:created>
  <dc:creator>Alain Sultan</dc:creator>
  <cp:lastModifiedBy>LiYang</cp:lastModifiedBy>
  <dcterms:modified xsi:type="dcterms:W3CDTF">2024-08-12T09:20:43Z</dcterms:modified>
  <dc:title>3GPP TSG-SA1 #42</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2052-12.8.2.16984</vt:lpwstr>
  </property>
  <property fmtid="{D5CDD505-2E9C-101B-9397-08002B2CF9AE}" pid="3" name="ICV">
    <vt:lpwstr>E791D3D66C4B4CD58FDA3EFFAD6374EB_12</vt:lpwstr>
  </property>
</Properties>
</file>